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738A3FE" w:rsidR="00205D31" w:rsidRDefault="00000000" w:rsidP="00D3731D">
      <w:pPr>
        <w:pStyle w:val="Ttulo1"/>
        <w:keepNext w:val="0"/>
        <w:keepLines w:val="0"/>
        <w:spacing w:before="480"/>
        <w:jc w:val="both"/>
        <w:rPr>
          <w:b/>
          <w:sz w:val="34"/>
          <w:szCs w:val="34"/>
        </w:rPr>
      </w:pPr>
      <w:bookmarkStart w:id="0" w:name="_heading=h.pqbvvsnx1d6q" w:colFirst="0" w:colLast="0"/>
      <w:bookmarkEnd w:id="0"/>
      <w:r>
        <w:rPr>
          <w:b/>
          <w:sz w:val="34"/>
          <w:szCs w:val="34"/>
        </w:rPr>
        <w:t>CONSENSO LATINOAMERICANO SOBRE LINFOMA DE CÉLULAS DEL MANTO GRUPO GELL</w:t>
      </w:r>
    </w:p>
    <w:p w14:paraId="5866CB74" w14:textId="77777777" w:rsidR="004F4119" w:rsidRDefault="004F4119" w:rsidP="004F4119">
      <w:pPr>
        <w:spacing w:before="240" w:after="240"/>
        <w:jc w:val="both"/>
      </w:pPr>
      <w:r>
        <w:rPr>
          <w:b/>
          <w:sz w:val="28"/>
          <w:szCs w:val="28"/>
        </w:rPr>
        <w:t>Autores: Grupo de Consenso Latinoamericano de LCM-GELL</w:t>
      </w:r>
    </w:p>
    <w:p w14:paraId="1A1B1C1D" w14:textId="77777777" w:rsidR="0094697E" w:rsidRDefault="00000000" w:rsidP="004F4119">
      <w:pPr>
        <w:jc w:val="both"/>
        <w:rPr>
          <w:lang w:val="en-US"/>
        </w:rPr>
      </w:pPr>
      <w:r>
        <w:rPr>
          <w:color w:val="000000"/>
          <w:lang w:val="en-US"/>
        </w:rPr>
        <w:t>39 Experts from 13 Countries</w:t>
      </w:r>
    </w:p>
    <w:p w14:paraId="1A1B1C1E" w14:textId="77777777" w:rsidR="0094697E" w:rsidRDefault="00000000" w:rsidP="004F4119">
      <w:pPr>
        <w:jc w:val="both"/>
        <w:rPr>
          <w:lang w:val="en-US"/>
        </w:rPr>
      </w:pPr>
      <w:r>
        <w:rPr>
          <w:color w:val="000000"/>
          <w:lang w:val="en-US"/>
        </w:rPr>
        <w:t>32 Experts from 11 LATAM Countries</w:t>
      </w:r>
    </w:p>
    <w:p w14:paraId="1A1B1C1F" w14:textId="77777777" w:rsidR="0094697E" w:rsidRDefault="00000000" w:rsidP="004F4119">
      <w:pPr>
        <w:jc w:val="both"/>
        <w:rPr>
          <w:lang w:val="en-US"/>
        </w:rPr>
      </w:pPr>
      <w:r>
        <w:rPr>
          <w:color w:val="000000"/>
          <w:lang w:val="en-US"/>
        </w:rPr>
        <w:t>3 Experts of Latin American origin working outside LATAM</w:t>
      </w:r>
    </w:p>
    <w:p w14:paraId="1A1B1C20" w14:textId="532C00F1" w:rsidR="0094697E" w:rsidRDefault="00000000" w:rsidP="004F4119">
      <w:pPr>
        <w:jc w:val="both"/>
      </w:pPr>
      <w:r>
        <w:rPr>
          <w:color w:val="000000"/>
        </w:rPr>
        <w:t>4 International Advisory Board: Eduardo Sotomayor MD, Luis Malpica MD, Ana Marín</w:t>
      </w:r>
      <w:r w:rsidR="00083177">
        <w:rPr>
          <w:color w:val="000000"/>
        </w:rPr>
        <w:t xml:space="preserve">-Niebla </w:t>
      </w:r>
      <w:r>
        <w:rPr>
          <w:color w:val="000000"/>
        </w:rPr>
        <w:t>MD</w:t>
      </w:r>
      <w:r w:rsidR="00083177">
        <w:rPr>
          <w:color w:val="000000"/>
        </w:rPr>
        <w:t xml:space="preserve"> PhD</w:t>
      </w:r>
      <w:r>
        <w:rPr>
          <w:color w:val="000000"/>
        </w:rPr>
        <w:t xml:space="preserve">, </w:t>
      </w:r>
      <w:proofErr w:type="spellStart"/>
      <w:r>
        <w:rPr>
          <w:color w:val="000000"/>
        </w:rPr>
        <w:t>Hun</w:t>
      </w:r>
      <w:proofErr w:type="spellEnd"/>
      <w:r>
        <w:rPr>
          <w:color w:val="000000"/>
        </w:rPr>
        <w:t xml:space="preserve"> Ju Lee MD</w:t>
      </w:r>
    </w:p>
    <w:p w14:paraId="1A1B1C21" w14:textId="77777777" w:rsidR="0094697E" w:rsidRDefault="00000000" w:rsidP="004F4119">
      <w:pPr>
        <w:jc w:val="both"/>
      </w:pPr>
      <w:r>
        <w:rPr>
          <w:color w:val="000000"/>
        </w:rPr>
        <w:t>June 2025 – January 2026</w:t>
      </w:r>
    </w:p>
    <w:p w14:paraId="1A1B1C22" w14:textId="56D713D9" w:rsidR="0094697E" w:rsidRDefault="00000000" w:rsidP="004F4119">
      <w:pPr>
        <w:jc w:val="both"/>
      </w:pPr>
      <w:r>
        <w:rPr>
          <w:color w:val="000000"/>
        </w:rPr>
        <w:t>María Alejandra Torres Viera¹, Henry Idrobo², Carolina Oliver³, Brady Beltrán⁴, Luis Villela⁵, German Stemmelin⁶, Juan Alejandro Ospina⁷, Carlos Chiattone⁸, Patricia Kollar⁹, Juan Arriola¹⁰, Alana von Glasenapp¹¹, Cristóbal Frutos¹¹, Alfredo Quiroz¹¹, Lidiane Andino Neves¹¹, Macarena Roa¹², Rosa Oliday Rios Jimenez¹³, Myrna Candelaria¹⁴, Matilde Chinchia¹⁵, Marcela Zamora¹⁶, Nancy Cristaldo¹⁷, Jorge Daza-Buitrago¹⁸, Humberto Martínez-Cordero⁷</w:t>
      </w:r>
      <w:r w:rsidR="00187073" w:rsidRPr="00187073">
        <w:rPr>
          <w:color w:val="000000"/>
          <w:vertAlign w:val="superscript"/>
        </w:rPr>
        <w:t>,</w:t>
      </w:r>
      <w:r>
        <w:rPr>
          <w:color w:val="000000"/>
        </w:rPr>
        <w:t>¹⁹, Adolfo Enrique Díaz Duque²⁰, Lorena Fiad²¹, Juan Esteban García²², Marie Laure García²³, Raimundo Gazítúa²⁴, Ana Ramírez²⁵, Carlos Gómez-Calcetero¹⁸, Eleazar Hernández-Ruiz²⁶, Pilar León²⁷, Jaime Valdés Céspedes⁷, Marta Zerga²⁸, Juan Rangel Patiño²⁹, Eduardo Sotomayor³⁰, Luis Malpica³¹, Ana Marín</w:t>
      </w:r>
      <w:r w:rsidR="00083177">
        <w:rPr>
          <w:color w:val="000000"/>
        </w:rPr>
        <w:t>-Niebla</w:t>
      </w:r>
      <w:r>
        <w:rPr>
          <w:color w:val="000000"/>
        </w:rPr>
        <w:t xml:space="preserve">³², </w:t>
      </w:r>
      <w:proofErr w:type="spellStart"/>
      <w:r>
        <w:rPr>
          <w:color w:val="000000"/>
        </w:rPr>
        <w:t>Hun</w:t>
      </w:r>
      <w:proofErr w:type="spellEnd"/>
      <w:r>
        <w:rPr>
          <w:color w:val="000000"/>
        </w:rPr>
        <w:t xml:space="preserve"> Ju Lee³¹, José Sandoval-Sus³³</w:t>
      </w:r>
    </w:p>
    <w:p w14:paraId="1A1B1C23" w14:textId="3E766908" w:rsidR="0094697E" w:rsidRDefault="00000000" w:rsidP="004F4119">
      <w:pPr>
        <w:spacing w:before="240" w:after="240"/>
        <w:jc w:val="both"/>
      </w:pPr>
      <w:r>
        <w:rPr>
          <w:color w:val="000000"/>
          <w:sz w:val="16"/>
          <w:szCs w:val="16"/>
        </w:rPr>
        <w:t xml:space="preserve">¹ Unidad de Hemato-Oncología 360, Clínica Santa Sofía; Policlínica Metropolitana CMDLT, Universidad Central de Venezuela, Caracas, Venezuela ² Universidad Tecnológica de Pereira, Clínica Central del Eje, Pereira, Colombia ³ Hospital Británico and CASMU, Montevideo, Uruguay ⁴ Hospital Nacional Edgardo Rebagliati Martins; Facultad de Ciencias de la Salud, Universidad San Ignacio de Loyola, Lima, Peru ⁵ Universidad Autónoma de Sinaloa; Hospital Dr Fernando Ocaranza ISSSTE; Centro Médico Dr Ignacio Chávez ISSSTESON, Hermosillo, Sonora, Mexico ⁶ Hospital Británico de Buenos Aires, Buenos Aires, Argentina ⁷ Instituto Nacional de Cancerología (INC), Bogotá, Colombia ⁸ Faculdade de Ciências Médicas da Santa Casa de São Paulo, São Paulo, Brazil ⁹ Sanatorio Americano, Montevideo, Uruguay ¹⁰ Hospital de Oncología Marie Curie, Buenos Aires, Argentina ¹¹ Hospital Central del Instituto de Previsión Social, Asunción, Paraguay ¹² Hospital del Salvador, Santiago, Chile ¹³ Hospital Militar Dr Luis Díaz Soto, Havana, Cuba ¹⁴ Instituto Nacional de Cancerología, Mexico City, Mexico ¹⁵ Clínica Rey David–Cosmitet; Clínica Sebastián de Belalcázar, Cali, Colombia ¹⁶ Hospital Metropolitano, Quito, Ecuador ¹⁷ Hospital Italiano de Buenos Aires, Buenos Aires, Argentina ¹⁸ Centro de Investigación y Tratamiento sobre Cáncer Luis Carlos Sarmiento Ángulo (CTIC), Bogotá, Colombia ¹⁹ Hospital Militar Central, Bogotá, Colombia ²⁰ Mays Cancer Center, UT Health San Antonio, San Antonio, TX, USA ²¹ Hospital Italiano La Plata, La Plata, Argentina ²² Fundación Valle del Lili, Cali, Colombia ²³ Hospital Universitario de Cáceres, Cáceres, Spain ²⁴ Fundación Arturo López Pérez, Santiago, Chile ²⁵ Centenario Hospital Miguel Hidalgo, Mexico City, Mexico ²⁶ Hospital Regional Presidente Juárez del ISSSTE, Oaxaca, Mexico ²⁷ Hospital Gustavo Fricke, Viña del Mar, Chile ²⁸ Hospital Alemán, Buenos Aires, Argentina ²⁹ Instituto Nacional de Ciencias Médicas y Nutrición Salvador Zubirán, Mexico City, Mexico ³⁰ TGH Cancer Institute, Tampa General Hospital, Tampa, FL, USA ³¹ Department of Lymphoma and Myeloma, The University of Texas MD Anderson Cancer Center, Houston, TX, USA ³² </w:t>
      </w:r>
      <w:r w:rsidR="00DC111C" w:rsidRPr="00DC111C">
        <w:rPr>
          <w:color w:val="000000"/>
          <w:sz w:val="16"/>
          <w:szCs w:val="16"/>
        </w:rPr>
        <w:t xml:space="preserve">Vall </w:t>
      </w:r>
      <w:proofErr w:type="spellStart"/>
      <w:r w:rsidR="00DC111C" w:rsidRPr="00DC111C">
        <w:rPr>
          <w:color w:val="000000"/>
          <w:sz w:val="16"/>
          <w:szCs w:val="16"/>
        </w:rPr>
        <w:t>d’Hebron</w:t>
      </w:r>
      <w:proofErr w:type="spellEnd"/>
      <w:r w:rsidR="00DC111C" w:rsidRPr="00DC111C">
        <w:rPr>
          <w:color w:val="000000"/>
          <w:sz w:val="16"/>
          <w:szCs w:val="16"/>
        </w:rPr>
        <w:t xml:space="preserve"> </w:t>
      </w:r>
      <w:proofErr w:type="spellStart"/>
      <w:r w:rsidR="00DC111C" w:rsidRPr="00DC111C">
        <w:rPr>
          <w:color w:val="000000"/>
          <w:sz w:val="16"/>
          <w:szCs w:val="16"/>
        </w:rPr>
        <w:t>Institute</w:t>
      </w:r>
      <w:proofErr w:type="spellEnd"/>
      <w:r w:rsidR="00DC111C" w:rsidRPr="00DC111C">
        <w:rPr>
          <w:color w:val="000000"/>
          <w:sz w:val="16"/>
          <w:szCs w:val="16"/>
        </w:rPr>
        <w:t xml:space="preserve"> </w:t>
      </w:r>
      <w:proofErr w:type="spellStart"/>
      <w:r w:rsidR="00DC111C" w:rsidRPr="00DC111C">
        <w:rPr>
          <w:color w:val="000000"/>
          <w:sz w:val="16"/>
          <w:szCs w:val="16"/>
        </w:rPr>
        <w:t>of</w:t>
      </w:r>
      <w:proofErr w:type="spellEnd"/>
      <w:r w:rsidR="00DC111C" w:rsidRPr="00DC111C">
        <w:rPr>
          <w:color w:val="000000"/>
          <w:sz w:val="16"/>
          <w:szCs w:val="16"/>
        </w:rPr>
        <w:t xml:space="preserve"> </w:t>
      </w:r>
      <w:proofErr w:type="spellStart"/>
      <w:r w:rsidR="00DC111C" w:rsidRPr="00DC111C">
        <w:rPr>
          <w:color w:val="000000"/>
          <w:sz w:val="16"/>
          <w:szCs w:val="16"/>
        </w:rPr>
        <w:t>Oncology</w:t>
      </w:r>
      <w:proofErr w:type="spellEnd"/>
      <w:r w:rsidR="00DC111C" w:rsidRPr="00DC111C">
        <w:rPr>
          <w:color w:val="000000"/>
          <w:sz w:val="16"/>
          <w:szCs w:val="16"/>
        </w:rPr>
        <w:t xml:space="preserve"> (VHIO), </w:t>
      </w:r>
      <w:proofErr w:type="spellStart"/>
      <w:r w:rsidR="00DC111C" w:rsidRPr="00DC111C">
        <w:rPr>
          <w:color w:val="000000"/>
          <w:sz w:val="16"/>
          <w:szCs w:val="16"/>
        </w:rPr>
        <w:t>University</w:t>
      </w:r>
      <w:proofErr w:type="spellEnd"/>
      <w:r w:rsidR="00DC111C" w:rsidRPr="00DC111C">
        <w:rPr>
          <w:color w:val="000000"/>
          <w:sz w:val="16"/>
          <w:szCs w:val="16"/>
        </w:rPr>
        <w:t xml:space="preserve"> Hospital Vall </w:t>
      </w:r>
      <w:proofErr w:type="spellStart"/>
      <w:r w:rsidR="00DC111C" w:rsidRPr="00DC111C">
        <w:rPr>
          <w:color w:val="000000"/>
          <w:sz w:val="16"/>
          <w:szCs w:val="16"/>
        </w:rPr>
        <w:t>d</w:t>
      </w:r>
      <w:r w:rsidR="00DC111C">
        <w:rPr>
          <w:color w:val="000000"/>
          <w:sz w:val="16"/>
          <w:szCs w:val="16"/>
        </w:rPr>
        <w:t>¨</w:t>
      </w:r>
      <w:r w:rsidR="00DC111C" w:rsidRPr="00DC111C">
        <w:rPr>
          <w:color w:val="000000"/>
          <w:sz w:val="16"/>
          <w:szCs w:val="16"/>
        </w:rPr>
        <w:t>Hebron</w:t>
      </w:r>
      <w:proofErr w:type="spellEnd"/>
      <w:r w:rsidR="00DC111C" w:rsidRPr="00DC111C">
        <w:rPr>
          <w:color w:val="000000"/>
          <w:sz w:val="16"/>
          <w:szCs w:val="16"/>
        </w:rPr>
        <w:t>, Barcelona, Spain</w:t>
      </w:r>
      <w:r>
        <w:rPr>
          <w:color w:val="000000"/>
          <w:sz w:val="16"/>
          <w:szCs w:val="16"/>
        </w:rPr>
        <w:t xml:space="preserve">³³ </w:t>
      </w:r>
      <w:r w:rsidR="00C009A7">
        <w:rPr>
          <w:color w:val="000000"/>
          <w:sz w:val="16"/>
          <w:szCs w:val="16"/>
        </w:rPr>
        <w:t xml:space="preserve"> </w:t>
      </w:r>
      <w:proofErr w:type="spellStart"/>
      <w:r>
        <w:rPr>
          <w:color w:val="000000"/>
          <w:sz w:val="16"/>
          <w:szCs w:val="16"/>
        </w:rPr>
        <w:t>Moffitt</w:t>
      </w:r>
      <w:proofErr w:type="spellEnd"/>
      <w:r>
        <w:rPr>
          <w:color w:val="000000"/>
          <w:sz w:val="16"/>
          <w:szCs w:val="16"/>
        </w:rPr>
        <w:t xml:space="preserve"> </w:t>
      </w:r>
      <w:proofErr w:type="spellStart"/>
      <w:r>
        <w:rPr>
          <w:color w:val="000000"/>
          <w:sz w:val="16"/>
          <w:szCs w:val="16"/>
        </w:rPr>
        <w:t>Cancer</w:t>
      </w:r>
      <w:proofErr w:type="spellEnd"/>
      <w:r>
        <w:rPr>
          <w:color w:val="000000"/>
          <w:sz w:val="16"/>
          <w:szCs w:val="16"/>
        </w:rPr>
        <w:t xml:space="preserve"> Center / Memorial Healthcare Institute, Pembroke Pines, FL, USA</w:t>
      </w:r>
    </w:p>
    <w:p w14:paraId="1A1B1C24" w14:textId="77777777" w:rsidR="0094697E" w:rsidRDefault="00000000" w:rsidP="004F4119">
      <w:pPr>
        <w:jc w:val="both"/>
      </w:pPr>
      <w:r>
        <w:t xml:space="preserve"> </w:t>
      </w:r>
    </w:p>
    <w:p w14:paraId="4AAC2F88" w14:textId="77777777" w:rsidR="004F4119" w:rsidRPr="00F86828" w:rsidRDefault="004F4119" w:rsidP="004F4119">
      <w:pPr>
        <w:rPr>
          <w:b/>
          <w:color w:val="0070C0"/>
          <w:u w:val="single"/>
          <w:lang w:val="es-VE"/>
        </w:rPr>
      </w:pPr>
    </w:p>
    <w:p w14:paraId="3552FE1F" w14:textId="53C0864E" w:rsidR="004F4119" w:rsidRPr="004F4119" w:rsidRDefault="004F4119" w:rsidP="004F4119">
      <w:pPr>
        <w:jc w:val="both"/>
        <w:rPr>
          <w:b/>
          <w:bCs/>
          <w:color w:val="000000" w:themeColor="text1"/>
        </w:rPr>
      </w:pPr>
      <w:r>
        <w:rPr>
          <w:b/>
          <w:bCs/>
          <w:color w:val="000000" w:themeColor="text1"/>
        </w:rPr>
        <w:t>Metodología</w:t>
      </w:r>
    </w:p>
    <w:p w14:paraId="4BEBB60A" w14:textId="1793AF8C" w:rsidR="004F4119" w:rsidRPr="004F4119" w:rsidRDefault="004F4119" w:rsidP="004F4119">
      <w:pPr>
        <w:jc w:val="both"/>
        <w:rPr>
          <w:b/>
          <w:bCs/>
          <w:color w:val="000000" w:themeColor="text1"/>
        </w:rPr>
      </w:pPr>
      <w:r>
        <w:rPr>
          <w:b/>
          <w:bCs/>
          <w:color w:val="000000" w:themeColor="text1"/>
        </w:rPr>
        <w:t>Diseño del Consenso</w:t>
      </w:r>
    </w:p>
    <w:p w14:paraId="7D935C43" w14:textId="77777777" w:rsidR="004F4119" w:rsidRPr="004F4119" w:rsidRDefault="004F4119" w:rsidP="004F4119">
      <w:pPr>
        <w:jc w:val="both"/>
        <w:rPr>
          <w:color w:val="000000" w:themeColor="text1"/>
        </w:rPr>
      </w:pPr>
      <w:r>
        <w:rPr>
          <w:color w:val="000000" w:themeColor="text1"/>
        </w:rPr>
        <w:t>El presente consenso se desarrolló mediante un proceso Delphi modificado estructurado en fases secuenciales, con la participación de 39 expertos: 33 especialistas de América Latina y 5 expertos internacionales en linfoma del manto provenientes de Estados Unidos y España.</w:t>
      </w:r>
    </w:p>
    <w:p w14:paraId="19476C5B" w14:textId="77777777" w:rsidR="004F4119" w:rsidRPr="004F4119" w:rsidRDefault="004F4119" w:rsidP="004F4119">
      <w:pPr>
        <w:jc w:val="both"/>
        <w:rPr>
          <w:color w:val="000000" w:themeColor="text1"/>
        </w:rPr>
      </w:pPr>
    </w:p>
    <w:p w14:paraId="641495D4" w14:textId="1C51E417" w:rsidR="004F4119" w:rsidRPr="004F4119" w:rsidRDefault="004F4119" w:rsidP="004F4119">
      <w:pPr>
        <w:jc w:val="both"/>
        <w:rPr>
          <w:b/>
          <w:bCs/>
          <w:color w:val="000000" w:themeColor="text1"/>
        </w:rPr>
      </w:pPr>
      <w:r>
        <w:rPr>
          <w:b/>
          <w:bCs/>
          <w:color w:val="000000" w:themeColor="text1"/>
        </w:rPr>
        <w:t>Revisión de la evidencia</w:t>
      </w:r>
    </w:p>
    <w:p w14:paraId="0F7BF2A2" w14:textId="170E7BBC" w:rsidR="004F4119" w:rsidRPr="004F4119" w:rsidRDefault="004F4119" w:rsidP="004F4119">
      <w:pPr>
        <w:jc w:val="both"/>
        <w:rPr>
          <w:color w:val="000000" w:themeColor="text1"/>
        </w:rPr>
      </w:pPr>
      <w:r>
        <w:rPr>
          <w:color w:val="000000" w:themeColor="text1"/>
        </w:rPr>
        <w:lastRenderedPageBreak/>
        <w:t>En la fase inicial, se constituyeron subgrupos de trabajo temáticos integrados por miembros del panel, quienes elaboraron respuestas fundamentadas a las preguntas clínicas asignadas a partir de una revisión narrativa sistematizada de la literatura científica en las bases de datos PubMed/MEDLINE, Cochrane Library y LILACS, abarcando el período comprendido entre enero de 2010 y diciembre de 2024. Los términos de búsqueda incluyeron '</w:t>
      </w:r>
      <w:proofErr w:type="spellStart"/>
      <w:r>
        <w:rPr>
          <w:color w:val="000000" w:themeColor="text1"/>
        </w:rPr>
        <w:t>mantle</w:t>
      </w:r>
      <w:proofErr w:type="spellEnd"/>
      <w:r>
        <w:rPr>
          <w:color w:val="000000" w:themeColor="text1"/>
        </w:rPr>
        <w:t xml:space="preserve"> </w:t>
      </w:r>
      <w:proofErr w:type="spellStart"/>
      <w:r>
        <w:rPr>
          <w:color w:val="000000" w:themeColor="text1"/>
        </w:rPr>
        <w:t>cell</w:t>
      </w:r>
      <w:proofErr w:type="spellEnd"/>
      <w:r>
        <w:rPr>
          <w:color w:val="000000" w:themeColor="text1"/>
        </w:rPr>
        <w:t xml:space="preserve"> </w:t>
      </w:r>
      <w:proofErr w:type="spellStart"/>
      <w:r>
        <w:rPr>
          <w:color w:val="000000" w:themeColor="text1"/>
        </w:rPr>
        <w:t>lymphoma</w:t>
      </w:r>
      <w:proofErr w:type="spellEnd"/>
      <w:r w:rsidR="00C77450">
        <w:rPr>
          <w:color w:val="000000" w:themeColor="text1"/>
        </w:rPr>
        <w:t>¨</w:t>
      </w:r>
      <w:r>
        <w:rPr>
          <w:color w:val="000000" w:themeColor="text1"/>
        </w:rPr>
        <w:t xml:space="preserve"> combinado con '</w:t>
      </w:r>
      <w:proofErr w:type="spellStart"/>
      <w:r>
        <w:rPr>
          <w:color w:val="000000" w:themeColor="text1"/>
        </w:rPr>
        <w:t>treatment</w:t>
      </w:r>
      <w:proofErr w:type="spellEnd"/>
      <w:r w:rsidR="00C77450">
        <w:rPr>
          <w:color w:val="000000" w:themeColor="text1"/>
        </w:rPr>
        <w:t>¨</w:t>
      </w:r>
      <w:r>
        <w:rPr>
          <w:color w:val="000000" w:themeColor="text1"/>
        </w:rPr>
        <w:t xml:space="preserve">, </w:t>
      </w:r>
      <w:r w:rsidR="00C77450">
        <w:rPr>
          <w:color w:val="000000" w:themeColor="text1"/>
        </w:rPr>
        <w:t>¨</w:t>
      </w:r>
      <w:r>
        <w:rPr>
          <w:color w:val="000000" w:themeColor="text1"/>
        </w:rPr>
        <w:t>diagnosis</w:t>
      </w:r>
      <w:r w:rsidR="00C77450">
        <w:rPr>
          <w:color w:val="000000" w:themeColor="text1"/>
        </w:rPr>
        <w:t>¨</w:t>
      </w:r>
      <w:r>
        <w:rPr>
          <w:color w:val="000000" w:themeColor="text1"/>
        </w:rPr>
        <w:t xml:space="preserve">, </w:t>
      </w:r>
      <w:r w:rsidR="00C77450">
        <w:rPr>
          <w:color w:val="000000" w:themeColor="text1"/>
        </w:rPr>
        <w:t>¨</w:t>
      </w:r>
      <w:proofErr w:type="spellStart"/>
      <w:r>
        <w:rPr>
          <w:color w:val="000000" w:themeColor="text1"/>
        </w:rPr>
        <w:t>transplantation</w:t>
      </w:r>
      <w:proofErr w:type="spellEnd"/>
      <w:r w:rsidR="00C77450">
        <w:rPr>
          <w:color w:val="000000" w:themeColor="text1"/>
        </w:rPr>
        <w:t>¨</w:t>
      </w:r>
      <w:r>
        <w:rPr>
          <w:color w:val="000000" w:themeColor="text1"/>
        </w:rPr>
        <w:t xml:space="preserve">, </w:t>
      </w:r>
      <w:r w:rsidR="00C77450">
        <w:rPr>
          <w:color w:val="000000" w:themeColor="text1"/>
        </w:rPr>
        <w:t>¨</w:t>
      </w:r>
      <w:r>
        <w:rPr>
          <w:color w:val="000000" w:themeColor="text1"/>
        </w:rPr>
        <w:t xml:space="preserve">BTK </w:t>
      </w:r>
      <w:proofErr w:type="spellStart"/>
      <w:r>
        <w:rPr>
          <w:color w:val="000000" w:themeColor="text1"/>
        </w:rPr>
        <w:t>inhibitor</w:t>
      </w:r>
      <w:proofErr w:type="spellEnd"/>
      <w:r w:rsidR="00C77450">
        <w:rPr>
          <w:color w:val="000000" w:themeColor="text1"/>
        </w:rPr>
        <w:t>¨</w:t>
      </w:r>
      <w:r>
        <w:rPr>
          <w:color w:val="000000" w:themeColor="text1"/>
        </w:rPr>
        <w:t xml:space="preserve">, </w:t>
      </w:r>
      <w:r w:rsidR="00C77450">
        <w:rPr>
          <w:color w:val="000000" w:themeColor="text1"/>
        </w:rPr>
        <w:t>¨</w:t>
      </w:r>
      <w:proofErr w:type="spellStart"/>
      <w:r>
        <w:rPr>
          <w:color w:val="000000" w:themeColor="text1"/>
        </w:rPr>
        <w:t>rituximab</w:t>
      </w:r>
      <w:proofErr w:type="spellEnd"/>
      <w:r>
        <w:rPr>
          <w:color w:val="000000" w:themeColor="text1"/>
        </w:rPr>
        <w:t xml:space="preserve"> </w:t>
      </w:r>
      <w:proofErr w:type="spellStart"/>
      <w:r>
        <w:rPr>
          <w:color w:val="000000" w:themeColor="text1"/>
        </w:rPr>
        <w:t>maintenance</w:t>
      </w:r>
      <w:proofErr w:type="spellEnd"/>
      <w:r w:rsidR="00C77450">
        <w:rPr>
          <w:color w:val="000000" w:themeColor="text1"/>
        </w:rPr>
        <w:t>¨</w:t>
      </w:r>
      <w:r>
        <w:rPr>
          <w:color w:val="000000" w:themeColor="text1"/>
        </w:rPr>
        <w:t>, 'TP53</w:t>
      </w:r>
      <w:r w:rsidR="00C77450">
        <w:rPr>
          <w:color w:val="000000" w:themeColor="text1"/>
        </w:rPr>
        <w:t>¨</w:t>
      </w:r>
      <w:r>
        <w:rPr>
          <w:color w:val="000000" w:themeColor="text1"/>
        </w:rPr>
        <w:t xml:space="preserve">, </w:t>
      </w:r>
      <w:r w:rsidR="00C77450">
        <w:rPr>
          <w:color w:val="000000" w:themeColor="text1"/>
        </w:rPr>
        <w:t>¨</w:t>
      </w:r>
      <w:proofErr w:type="spellStart"/>
      <w:r>
        <w:rPr>
          <w:color w:val="000000" w:themeColor="text1"/>
        </w:rPr>
        <w:t>Latin</w:t>
      </w:r>
      <w:proofErr w:type="spellEnd"/>
      <w:r>
        <w:rPr>
          <w:color w:val="000000" w:themeColor="text1"/>
        </w:rPr>
        <w:t xml:space="preserve"> </w:t>
      </w:r>
      <w:proofErr w:type="spellStart"/>
      <w:r>
        <w:rPr>
          <w:color w:val="000000" w:themeColor="text1"/>
        </w:rPr>
        <w:t>America</w:t>
      </w:r>
      <w:proofErr w:type="spellEnd"/>
      <w:r w:rsidR="00C77450">
        <w:rPr>
          <w:color w:val="000000" w:themeColor="text1"/>
        </w:rPr>
        <w:t>¨</w:t>
      </w:r>
      <w:r>
        <w:rPr>
          <w:color w:val="000000" w:themeColor="text1"/>
        </w:rPr>
        <w:t xml:space="preserve"> y </w:t>
      </w:r>
      <w:r w:rsidR="00C77450">
        <w:rPr>
          <w:color w:val="000000" w:themeColor="text1"/>
        </w:rPr>
        <w:t>¨</w:t>
      </w:r>
      <w:proofErr w:type="spellStart"/>
      <w:r>
        <w:rPr>
          <w:color w:val="000000" w:themeColor="text1"/>
        </w:rPr>
        <w:t>resource-limited</w:t>
      </w:r>
      <w:proofErr w:type="spellEnd"/>
      <w:r>
        <w:rPr>
          <w:color w:val="000000" w:themeColor="text1"/>
        </w:rPr>
        <w:t xml:space="preserve"> </w:t>
      </w:r>
      <w:proofErr w:type="spellStart"/>
      <w:r>
        <w:rPr>
          <w:color w:val="000000" w:themeColor="text1"/>
        </w:rPr>
        <w:t>settings</w:t>
      </w:r>
      <w:proofErr w:type="spellEnd"/>
      <w:r w:rsidR="00C77450">
        <w:rPr>
          <w:color w:val="000000" w:themeColor="text1"/>
        </w:rPr>
        <w:t>¨</w:t>
      </w:r>
      <w:r>
        <w:rPr>
          <w:color w:val="000000" w:themeColor="text1"/>
        </w:rPr>
        <w:t>. La selección bibliográfica priorizó ensayos clínicos aleatorizados, revisiones sistemáticas, metaanálisis y cohortes observacionales de relevancia clínica. Se incorporaron las recomendaciones de las guías internacionales vigentes (NCCN v6.2024, ESMO Living Guidelines) y sus listas de referencias, complementadas con datos provenientes de la cohorte retrospectiva regional LATAM-GELL.⁶ La calidad de la evidencia y la fuerza de cada recomendación fueron evaluadas mediante el sistema GRADE.</w:t>
      </w:r>
    </w:p>
    <w:p w14:paraId="2117E933" w14:textId="77777777" w:rsidR="004F4119" w:rsidRPr="004F4119" w:rsidRDefault="004F4119" w:rsidP="004F4119">
      <w:pPr>
        <w:jc w:val="both"/>
        <w:rPr>
          <w:color w:val="000000" w:themeColor="text1"/>
        </w:rPr>
      </w:pPr>
    </w:p>
    <w:p w14:paraId="2D5A13C8" w14:textId="429B6A9D" w:rsidR="004F4119" w:rsidRPr="004F4119" w:rsidRDefault="004F4119" w:rsidP="004F4119">
      <w:pPr>
        <w:jc w:val="both"/>
        <w:rPr>
          <w:b/>
          <w:bCs/>
          <w:color w:val="000000" w:themeColor="text1"/>
        </w:rPr>
      </w:pPr>
      <w:r>
        <w:rPr>
          <w:b/>
          <w:bCs/>
          <w:color w:val="000000" w:themeColor="text1"/>
        </w:rPr>
        <w:t>Proceso de consolidación</w:t>
      </w:r>
    </w:p>
    <w:p w14:paraId="1DA2AE6C" w14:textId="77777777" w:rsidR="004F4119" w:rsidRPr="004F4119" w:rsidRDefault="004F4119" w:rsidP="004F4119">
      <w:pPr>
        <w:jc w:val="both"/>
        <w:rPr>
          <w:color w:val="000000" w:themeColor="text1"/>
        </w:rPr>
      </w:pPr>
      <w:r>
        <w:rPr>
          <w:color w:val="000000" w:themeColor="text1"/>
        </w:rPr>
        <w:t>Las propuestas elaboradas por los subgrupos fueron distribuidas, analizadas y consolidadas por los 33 miembros del panel latinoamericano. Con el fin de abordar los aspectos de mayor complejidad clínica o divergencia de criterios, se celebraron tres reuniones virtuales estructuradas, en las cuales se discutieron específicamente los siguientes tópicos: la definición operativa de riesgo alto y muy alto en linfoma del manto; el manejo del paciente funcionalmente apto (*fit*) con inhibidores de BTK frente al trasplante autólogo de progenitores hematopoyéticos en el contexto de las realidades sanitarias latinoamericanas; la duración e intensidad del tratamiento de mantenimiento con rituximab solo frente a la combinación rituximab más inhibidor de BTK por dos o tres años, considerando las limitaciones de acceso terapéutico en la región; el papel del trasplante alogénico en pacientes seleccionados; y los criterios de interpretación inmunohistoquímica de TP53.</w:t>
      </w:r>
    </w:p>
    <w:p w14:paraId="050A3257" w14:textId="77777777" w:rsidR="004F4119" w:rsidRPr="004F4119" w:rsidRDefault="004F4119" w:rsidP="004F4119">
      <w:pPr>
        <w:jc w:val="both"/>
        <w:rPr>
          <w:color w:val="000000" w:themeColor="text1"/>
        </w:rPr>
      </w:pPr>
    </w:p>
    <w:p w14:paraId="7339E38F" w14:textId="66E0151F" w:rsidR="004F4119" w:rsidRPr="004F4119" w:rsidRDefault="004F4119" w:rsidP="004F4119">
      <w:pPr>
        <w:jc w:val="both"/>
        <w:rPr>
          <w:b/>
          <w:bCs/>
          <w:color w:val="000000" w:themeColor="text1"/>
        </w:rPr>
      </w:pPr>
      <w:r>
        <w:rPr>
          <w:b/>
          <w:bCs/>
          <w:color w:val="000000" w:themeColor="text1"/>
        </w:rPr>
        <w:t>Votación y logro del consenso</w:t>
      </w:r>
    </w:p>
    <w:p w14:paraId="20A30C94" w14:textId="77777777" w:rsidR="004F4119" w:rsidRPr="004F4119" w:rsidRDefault="004F4119" w:rsidP="004F4119">
      <w:pPr>
        <w:jc w:val="both"/>
        <w:rPr>
          <w:color w:val="000000" w:themeColor="text1"/>
        </w:rPr>
      </w:pPr>
      <w:r>
        <w:rPr>
          <w:color w:val="000000" w:themeColor="text1"/>
        </w:rPr>
        <w:t>Se estableció un umbral de consenso igual o superior al 80% de acuerdo para la aprobación definitiva de cada recomendación. Las recomendaciones que no alcanzaron dicho umbral en la primera ronda fueron sometidas a un proceso de revisión crítica, reformulación y nueva ronda de votación. La mayoría de las 39 recomendaciones alcanzó el umbral requerido en la primera ronda de votación. Los temas que requirieron mayor deliberación y rondas adicionales fueron: la definición de alto y muy alto riesgo en linfoma del manto, el rol del trasplante autólogo en la era de los inhibidores de BTK, los criterios de interpretación inmunohistoquímica de TP53, el manejo de la enfermedad recaída/refractaria sin acceso a CAR-T, y las estrategias de mantenimiento en entornos con acceso limitado a recursos.</w:t>
      </w:r>
    </w:p>
    <w:p w14:paraId="2A264D5A" w14:textId="77777777" w:rsidR="004F4119" w:rsidRPr="004F4119" w:rsidRDefault="004F4119" w:rsidP="004F4119">
      <w:pPr>
        <w:jc w:val="both"/>
        <w:rPr>
          <w:color w:val="000000" w:themeColor="text1"/>
        </w:rPr>
      </w:pPr>
    </w:p>
    <w:p w14:paraId="1A724965" w14:textId="584BC961" w:rsidR="004F4119" w:rsidRPr="004F4119" w:rsidRDefault="004F4119" w:rsidP="004F4119">
      <w:pPr>
        <w:jc w:val="both"/>
        <w:rPr>
          <w:b/>
          <w:bCs/>
          <w:color w:val="000000" w:themeColor="text1"/>
        </w:rPr>
      </w:pPr>
      <w:r>
        <w:rPr>
          <w:b/>
          <w:bCs/>
          <w:color w:val="000000" w:themeColor="text1"/>
        </w:rPr>
        <w:t>Revisión externa</w:t>
      </w:r>
    </w:p>
    <w:p w14:paraId="2FF63968" w14:textId="3918D59B" w:rsidR="004F4119" w:rsidRPr="004F4119" w:rsidRDefault="004F4119" w:rsidP="004F4119">
      <w:pPr>
        <w:jc w:val="both"/>
        <w:rPr>
          <w:color w:val="000000" w:themeColor="text1"/>
        </w:rPr>
      </w:pPr>
      <w:r>
        <w:rPr>
          <w:color w:val="000000" w:themeColor="text1"/>
        </w:rPr>
        <w:t>En la fase final, el documento completo de consenso fue remitido al panel asesor internacional integrado por Eduardo Sotomayor, Luis. Malpica, Ana Marín</w:t>
      </w:r>
      <w:r w:rsidR="00083177">
        <w:rPr>
          <w:color w:val="000000" w:themeColor="text1"/>
        </w:rPr>
        <w:t>-Niebla</w:t>
      </w:r>
      <w:r>
        <w:rPr>
          <w:color w:val="000000" w:themeColor="text1"/>
        </w:rPr>
        <w:t>, H.J. Lee, para su revisión crítica independiente. Sus observaciones sobre la base de evidencia y la redacción de las recomendaciones fueron incorporadas previo a la aprobación definitiva del documento.</w:t>
      </w:r>
    </w:p>
    <w:p w14:paraId="13E6F049" w14:textId="77777777" w:rsidR="004F4119" w:rsidRPr="004F4119" w:rsidRDefault="004F4119" w:rsidP="004F4119"/>
    <w:p w14:paraId="1E4785B1" w14:textId="77777777" w:rsidR="00C77450" w:rsidRDefault="00C77450" w:rsidP="00D3731D">
      <w:pPr>
        <w:pStyle w:val="Ttulo2"/>
        <w:keepNext w:val="0"/>
        <w:keepLines w:val="0"/>
        <w:spacing w:after="80"/>
        <w:jc w:val="both"/>
        <w:rPr>
          <w:b/>
          <w:sz w:val="24"/>
          <w:szCs w:val="24"/>
        </w:rPr>
      </w:pPr>
      <w:bookmarkStart w:id="1" w:name="_heading=h.4f453zqh51h7" w:colFirst="0" w:colLast="0"/>
      <w:bookmarkEnd w:id="1"/>
    </w:p>
    <w:p w14:paraId="00000004" w14:textId="21ADA960" w:rsidR="00205D31" w:rsidRPr="000C6123" w:rsidRDefault="00000000" w:rsidP="00D3731D">
      <w:pPr>
        <w:pStyle w:val="Ttulo2"/>
        <w:keepNext w:val="0"/>
        <w:keepLines w:val="0"/>
        <w:spacing w:after="80"/>
        <w:jc w:val="both"/>
        <w:rPr>
          <w:b/>
          <w:sz w:val="24"/>
          <w:szCs w:val="24"/>
        </w:rPr>
      </w:pPr>
      <w:r>
        <w:rPr>
          <w:b/>
          <w:sz w:val="24"/>
          <w:szCs w:val="24"/>
        </w:rPr>
        <w:lastRenderedPageBreak/>
        <w:t>1. ASPECTOS DIAGNÓSTICOS ESENCIALES</w:t>
      </w:r>
    </w:p>
    <w:p w14:paraId="00000005" w14:textId="7CBE9CAA" w:rsidR="00205D31" w:rsidRDefault="00000000" w:rsidP="00D3731D">
      <w:pPr>
        <w:spacing w:before="240" w:after="240"/>
        <w:jc w:val="both"/>
      </w:pPr>
      <w:r>
        <w:rPr>
          <w:b/>
        </w:rPr>
        <w:t>Dra. Marie Laure García (España), Dra. Macarena Roa (Chile)</w:t>
      </w:r>
    </w:p>
    <w:p w14:paraId="487A2419" w14:textId="5EF52935" w:rsidR="00571B2A" w:rsidRPr="000C6123" w:rsidRDefault="00000000" w:rsidP="00D3731D">
      <w:pPr>
        <w:pStyle w:val="Ttulo3"/>
        <w:keepNext w:val="0"/>
        <w:keepLines w:val="0"/>
        <w:spacing w:before="280"/>
        <w:jc w:val="both"/>
        <w:rPr>
          <w:sz w:val="24"/>
          <w:szCs w:val="24"/>
        </w:rPr>
      </w:pPr>
      <w:bookmarkStart w:id="2" w:name="_heading=h.w1kq6fhmjwce" w:colFirst="0" w:colLast="0"/>
      <w:bookmarkEnd w:id="2"/>
      <w:r>
        <w:rPr>
          <w:b/>
          <w:color w:val="000000"/>
          <w:sz w:val="24"/>
          <w:szCs w:val="24"/>
        </w:rPr>
        <w:t>1.1 ¿Cuál es el panel mínimo de inmunohistoquímica requerido para el diagnóstico de LCM y sus variantes?</w:t>
      </w:r>
    </w:p>
    <w:p w14:paraId="00000007" w14:textId="71FBEBF7" w:rsidR="00205D31" w:rsidRPr="00172E82" w:rsidRDefault="00571B2A" w:rsidP="00D3731D">
      <w:pPr>
        <w:pStyle w:val="Ttulo3"/>
        <w:keepNext w:val="0"/>
        <w:keepLines w:val="0"/>
        <w:spacing w:before="280"/>
        <w:jc w:val="both"/>
        <w:rPr>
          <w:i/>
          <w:iCs/>
          <w:color w:val="000000" w:themeColor="text1"/>
          <w:sz w:val="22"/>
          <w:szCs w:val="22"/>
        </w:rPr>
      </w:pPr>
      <w:r>
        <w:rPr>
          <w:i/>
          <w:iCs/>
          <w:color w:val="000000" w:themeColor="text1"/>
          <w:sz w:val="22"/>
          <w:szCs w:val="22"/>
        </w:rPr>
        <w:t>EL PANEL MÍNIMO DE INMUNOHISTOQUÍMICA PARA EL DIAGNÓSTICO DE LCM DEBE INCLUIR MARCADORES DE CÉLULAS B (CD19, CD20, CD79A), MARCADORES DEFINITORIOS DE LCM (CD5, CICLINA D1, O SOX11 PARA LOS CASOS CICLINA D1-NEGATIVOS) Y MARCADORES PRONÓSTICOS (KI-67 Y P53), CON CONFIRMACIÓN MEDIANTE DEMOSTRACIÓN DE SOBREEXPRESIÓN DE CICLINA D1 O t(11;14). LOS MARCADORES DE DIAGNÓSTICO DIFERENCIAL DEBEN INCORPORARSE CUANDO EXISTA SUPERPOSICIÓN MORFOLÓGICA O FENOTÍPICA: CD23 (NEGATIVO O DÉBILMENTE POSITIVO EN LCM FRENTE A POSITIVO EN LLC/SLL), CD10 Y BCL6 (NEGATIVOS EN LCM, POSITIVOS EN LINFOMA FOLICULAR) EN LOS CASOS CICLINA D1-NEGATIVOS, LA POSITIVIDAD DE SOX11 ES INDISPENSABLE PARA CONFIRMAR EL LINAJE DE LCM Y EXCLUIR OTROS LINFOMAS DE CÉLULAS B PEQUEÑAS</w:t>
      </w:r>
    </w:p>
    <w:p w14:paraId="00000008" w14:textId="671ABBA6" w:rsidR="00205D31" w:rsidRDefault="00000000" w:rsidP="00D3731D">
      <w:pPr>
        <w:spacing w:before="240" w:after="240"/>
        <w:jc w:val="both"/>
      </w:pPr>
      <w:r>
        <w:rPr>
          <w:b/>
        </w:rPr>
        <w:t>Justificación</w:t>
      </w:r>
      <w:r>
        <w:rPr>
          <w:sz w:val="20"/>
          <w:szCs w:val="20"/>
        </w:rPr>
        <w:t>. El fenotipo puede ser sugestivo de la enfermedad, pero la confirmación diagnóstica requiere demostración de expresión de ciclina D1 y/o presencia de t(11;14) según guías ESMO 2013. Los marcadores de células B confirman el linaje celular; CD5 y ciclina D1 son característicos del LCM; Ki-67 y P53 tienen valor pronóstico establecido; SOX-11 identifica variantes raras ciclina D1-negativas que de otro modo pasarían desapercibidas.</w:t>
      </w:r>
    </w:p>
    <w:p w14:paraId="00000009" w14:textId="4C07CFB9" w:rsidR="00205D31" w:rsidRPr="00172E82" w:rsidRDefault="00000000" w:rsidP="00D3731D">
      <w:pPr>
        <w:spacing w:before="240" w:after="240"/>
        <w:jc w:val="both"/>
        <w:rPr>
          <w:sz w:val="20"/>
          <w:szCs w:val="20"/>
        </w:rPr>
      </w:pPr>
      <w:r>
        <w:rPr>
          <w:b/>
        </w:rPr>
        <w:t>Declaración (2B).</w:t>
      </w:r>
      <w:r>
        <w:t xml:space="preserve"> </w:t>
      </w:r>
      <w:r>
        <w:rPr>
          <w:sz w:val="20"/>
          <w:szCs w:val="20"/>
        </w:rPr>
        <w:t>Realizar inmunohistoquímica con marcadores de células B (CD19, CD20, CD79a, CD10, CD23), marcadores específicos de LCM (CD5 y ciclina D1, o SOX-11 si ciclina D1-negativo), y marcadores pronósticos (Ki-67 y P53) en todos los casos sospechosos de LCM.</w:t>
      </w:r>
    </w:p>
    <w:p w14:paraId="0000000A" w14:textId="77777777" w:rsidR="00205D31" w:rsidRPr="000C6123" w:rsidRDefault="00000000" w:rsidP="00D3731D">
      <w:pPr>
        <w:pStyle w:val="Ttulo3"/>
        <w:keepNext w:val="0"/>
        <w:keepLines w:val="0"/>
        <w:spacing w:before="280"/>
        <w:jc w:val="both"/>
        <w:rPr>
          <w:b/>
          <w:color w:val="000000"/>
          <w:sz w:val="24"/>
          <w:szCs w:val="24"/>
        </w:rPr>
      </w:pPr>
      <w:bookmarkStart w:id="3" w:name="_heading=h.p87eng6sx39g" w:colFirst="0" w:colLast="0"/>
      <w:bookmarkEnd w:id="3"/>
      <w:r>
        <w:rPr>
          <w:b/>
          <w:color w:val="000000"/>
          <w:sz w:val="24"/>
          <w:szCs w:val="24"/>
        </w:rPr>
        <w:t>1.2 ¿Cuál es la determinación ideal y práctica de P53 en el contexto latinoamericano (FISH, inmunohistoquímica)?</w:t>
      </w:r>
    </w:p>
    <w:p w14:paraId="3192951E" w14:textId="773E60EB" w:rsidR="00571B2A" w:rsidRPr="00CC7F6E" w:rsidRDefault="00000000" w:rsidP="00D3731D">
      <w:pPr>
        <w:spacing w:before="240" w:after="240"/>
        <w:jc w:val="both"/>
        <w:rPr>
          <w:i/>
        </w:rPr>
      </w:pPr>
      <w:r>
        <w:rPr>
          <w:i/>
        </w:rPr>
        <w:t>EN CONTEXTOS DONDE NGS ESTÁ DISPONIBLE, UTILIZAR NGS PARA DETERMINACIÓN DE MUTACIÓN TP53; CUANDO NGS NO ESTÉ DISPONIBLE O ACCESIBLE, Y/O del(17p) POR FISH, o SOBREEXPRESIÓN DE TP53 POR IHQ COMO ALTERNATIVA COSTO-EFECTIVA CON PUNTO DE CORTE DE 50% PARA POSITIVIDAPARA LA EVALUACIÓN DE P53 POR INMUNOHISTOQUÍMICA EN MCL SE RECOMIENDA EL USO DE UN ANTICUERPO MONOCLONAL ANTI-P53 VALIDADO EN TEJIDO FFPE, PREFERIBLEMENTE EN PLATAFORMA AUTOMATIZADA CON RECUPERACIÓN ANTIGÉNICA ESTANDARIZADA, DETECCIÓN POR POLÍMERO Y CONTROLES EXTERNOS E INTERNOS EN CADA CORRIDA. LA INTERPRETACIÓN DEBE INCORPORAR PATRÓN (SOBREEXPRESIÓN DIFUSA, PATRÓN NULO O PATRÓN TIPO WILD-TYPE), ADEMÁS DEL PORCENTAJE DE CÉLULAS TUMORALES POSITIVAS.</w:t>
      </w:r>
    </w:p>
    <w:p w14:paraId="08AF3103" w14:textId="28139CBE" w:rsidR="00656BEC" w:rsidRDefault="00000000" w:rsidP="00656BEC">
      <w:pPr>
        <w:spacing w:before="240" w:after="240"/>
        <w:jc w:val="both"/>
      </w:pPr>
      <w:r>
        <w:rPr>
          <w:b/>
        </w:rPr>
        <w:t>Justificación</w:t>
      </w:r>
      <w:r>
        <w:t xml:space="preserve">. </w:t>
      </w:r>
      <w:r>
        <w:rPr>
          <w:sz w:val="20"/>
          <w:szCs w:val="20"/>
        </w:rPr>
        <w:t xml:space="preserve">La mutación de TP53 ocurre en aproximadamente 31% de los pacientes con linfoma de células del manto (LCM) y se asocia de manera consistente con desenlaces adversos, incluyendo supervivencia global reducida (≈1.8 años) y altas tasas de recaída temprana. Este subgrupo presenta resistencia primaria a la quimio-inmunoterapia convencional, incluso en pacientes tratados con esquemas intensivos y trasplante autólogo. La determinación del estado de TP53 es esencial para la </w:t>
      </w:r>
      <w:r>
        <w:rPr>
          <w:sz w:val="20"/>
          <w:szCs w:val="20"/>
        </w:rPr>
        <w:lastRenderedPageBreak/>
        <w:t>estratificación pronóstica y la toma de decisiones terapéuticas. Aunque la secuenciación de nueva generación (NGS) constituye el estándar, su disponibilidad es limitada en muchos entornos de América Latina. La inmunohistoquímica (IHQ) para p53 representa una alternativa pragmática, con una sensibilidad aproximada de 85% y especificidad cercana al 100%,</w:t>
      </w:r>
      <w:r>
        <w:rPr>
          <w:sz w:val="20"/>
          <w:szCs w:val="20"/>
          <w:vertAlign w:val="superscript"/>
        </w:rPr>
        <w:t>1</w:t>
      </w:r>
      <w:r>
        <w:rPr>
          <w:sz w:val="20"/>
          <w:szCs w:val="20"/>
        </w:rPr>
        <w:t xml:space="preserve"> tiempos de respuesta más cortos y mayor accesibilidad. Un punto de corte de ≥50% de positividad ha demostrado el mejor rendimiento diagnóstico. Debe reconocerse la existencia de una zona gris (40–49%), que representa una categoría biológicamente indeterminada. En estos casos, la interpretación no debe basarse exclusivamente en el porcentaje de positividad, sino en una evaluación biológica integrada, que incluya: patrón cualitativo de IHQ (difuso intenso vs patrón nulo), índice proliferativo (Ki-67), morfología (blastoide/pleomórfica), niveles de LDH, MIPI y comportamiento clínico, </w:t>
      </w:r>
      <w:r>
        <w:rPr>
          <w:sz w:val="20"/>
          <w:szCs w:val="20"/>
          <w:vertAlign w:val="superscript"/>
        </w:rPr>
        <w:t>1,2</w:t>
      </w:r>
      <w:r>
        <w:rPr>
          <w:sz w:val="20"/>
          <w:szCs w:val="20"/>
        </w:rPr>
        <w:t xml:space="preserve"> La presencia de múltiples factores adversos aumenta la probabilidad de biología de alto riesgo y posible disrupción de TP53, mientras que su ausencia puede ser consistente con un perfil más favorable. ⁴ </w:t>
      </w:r>
      <w:r w:rsidRPr="00187073">
        <w:rPr>
          <w:sz w:val="20"/>
          <w:szCs w:val="20"/>
        </w:rPr>
        <w:t>En contextos con recursos limitados, la evaluación biológica integrada debe prevalecer sobre umbrales porcentuales rígidos para reducir el riesgo de tratamiento subóptimo en enfermedad agresiva</w:t>
      </w:r>
      <w:r>
        <w:rPr>
          <w:b/>
          <w:bCs/>
          <w:sz w:val="20"/>
          <w:szCs w:val="20"/>
        </w:rPr>
        <w:t>.</w:t>
      </w:r>
    </w:p>
    <w:p w14:paraId="0000000D" w14:textId="4BA8B81F" w:rsidR="00205D31" w:rsidRDefault="00656BEC" w:rsidP="006E76A5">
      <w:pPr>
        <w:spacing w:before="240" w:after="240"/>
        <w:jc w:val="both"/>
      </w:pPr>
      <w:r>
        <w:rPr>
          <w:b/>
          <w:bCs/>
        </w:rPr>
        <w:t>Declaración</w:t>
      </w:r>
      <w:r>
        <w:t xml:space="preserve"> (2C): </w:t>
      </w:r>
      <w:r>
        <w:rPr>
          <w:sz w:val="20"/>
          <w:szCs w:val="20"/>
        </w:rPr>
        <w:t>Se recomienda determinar el estado de TP53 mediante NGS cuando esté disponible. En entornos sin acceso a NGS, la IHQ para p53 puede utilizarse como alternativa costo-efectiva, empleando un punto de corte de ≥50% para definir positividad. En pacientes con expresión intermedia de p53 (40–49%), la interpretación debe realizarse en el contexto de una evaluación biológica integrada (incluyendo patrón de tinción, Ki-67, morfología, LDH y MIPI). Estos casos deben considerarse indeterminados, y su clasificación final de riesgo debe individualizarse según la integración de estos factores</w:t>
      </w:r>
    </w:p>
    <w:p w14:paraId="0B0A0617" w14:textId="77777777" w:rsidR="00D3731D" w:rsidRPr="004F4119" w:rsidRDefault="00D3731D" w:rsidP="00D3731D">
      <w:pPr>
        <w:spacing w:before="60" w:after="60" w:line="260" w:lineRule="auto"/>
        <w:ind w:left="360" w:hanging="360"/>
        <w:jc w:val="both"/>
        <w:rPr>
          <w:b/>
          <w:bCs/>
          <w:color w:val="444444"/>
          <w:sz w:val="18"/>
          <w:szCs w:val="18"/>
          <w:lang w:val="es-VE"/>
        </w:rPr>
      </w:pPr>
    </w:p>
    <w:p w14:paraId="0A54149F" w14:textId="7786D799" w:rsidR="00057751" w:rsidRPr="00833E37" w:rsidRDefault="002E0830" w:rsidP="00D3731D">
      <w:pPr>
        <w:spacing w:before="60" w:after="60" w:line="260" w:lineRule="auto"/>
        <w:ind w:left="360" w:hanging="360"/>
        <w:jc w:val="both"/>
        <w:rPr>
          <w:b/>
          <w:bCs/>
          <w:color w:val="444444"/>
          <w:sz w:val="18"/>
          <w:szCs w:val="18"/>
          <w:lang w:val="en-US"/>
        </w:rPr>
      </w:pPr>
      <w:r>
        <w:rPr>
          <w:b/>
          <w:bCs/>
          <w:color w:val="444444"/>
          <w:sz w:val="18"/>
          <w:szCs w:val="18"/>
          <w:lang w:val="en-US"/>
        </w:rPr>
        <w:t xml:space="preserve">Bibliografia </w:t>
      </w:r>
    </w:p>
    <w:p w14:paraId="7261D355" w14:textId="19828896" w:rsidR="00B55BEB" w:rsidRPr="00455C7E" w:rsidRDefault="00B55BEB" w:rsidP="00D3731D">
      <w:pPr>
        <w:spacing w:before="60" w:after="60" w:line="260" w:lineRule="auto"/>
        <w:ind w:left="360" w:hanging="360"/>
        <w:jc w:val="both"/>
        <w:rPr>
          <w:lang w:val="en-US"/>
        </w:rPr>
      </w:pPr>
      <w:r>
        <w:rPr>
          <w:color w:val="444444"/>
          <w:sz w:val="18"/>
          <w:szCs w:val="18"/>
          <w:lang w:val="en-US"/>
        </w:rPr>
        <w:t>1.-Eskelund CW, Dahl C, Hansen JW, et al. TP53 mutations identify younger mantle cell lymphoma patients who do not benefit from intensive chemoimmunotherapy. Blood. 2017;130(17):1903–1910.</w:t>
      </w:r>
    </w:p>
    <w:p w14:paraId="2DF5521A" w14:textId="77777777" w:rsidR="00B55BEB" w:rsidRPr="00455C7E" w:rsidRDefault="00B55BEB" w:rsidP="00D3731D">
      <w:pPr>
        <w:spacing w:before="60" w:after="60" w:line="260" w:lineRule="auto"/>
        <w:ind w:left="360" w:hanging="360"/>
        <w:jc w:val="both"/>
        <w:rPr>
          <w:lang w:val="en-US"/>
        </w:rPr>
      </w:pPr>
      <w:r>
        <w:rPr>
          <w:color w:val="444444"/>
          <w:sz w:val="18"/>
          <w:szCs w:val="18"/>
          <w:lang w:val="en-US"/>
        </w:rPr>
        <w:t>2. Delfau-Larue MH, Klapper W, Berger F, et al. High frequency of TP53 alterations in mantle cell lymphoma and correlation with poor outcome. Blood. 2015;125(2):303–312.</w:t>
      </w:r>
    </w:p>
    <w:p w14:paraId="375B6A6A" w14:textId="02381E93" w:rsidR="00B55BEB" w:rsidRDefault="00B55BEB" w:rsidP="00D3731D">
      <w:pPr>
        <w:spacing w:before="60" w:after="60" w:line="260" w:lineRule="auto"/>
        <w:ind w:left="360" w:hanging="360"/>
        <w:jc w:val="both"/>
      </w:pPr>
      <w:r>
        <w:rPr>
          <w:color w:val="444444"/>
          <w:sz w:val="18"/>
          <w:szCs w:val="18"/>
          <w:lang w:val="en-US"/>
        </w:rPr>
        <w:t xml:space="preserve">3. Bernard M, Gressin R, Lefrère F, et al. Prognostic impact of TP53 mutations in mantle cell lymphoma: a pooled analysis of prospective trials. </w:t>
      </w:r>
      <w:r>
        <w:rPr>
          <w:color w:val="444444"/>
          <w:sz w:val="18"/>
          <w:szCs w:val="18"/>
          <w:lang w:val="es-VE"/>
        </w:rPr>
        <w:t xml:space="preserve">Haematologica. </w:t>
      </w:r>
      <w:r>
        <w:rPr>
          <w:color w:val="444444"/>
          <w:sz w:val="18"/>
          <w:szCs w:val="18"/>
        </w:rPr>
        <w:t>2020;105(1): e35–e38.</w:t>
      </w:r>
    </w:p>
    <w:p w14:paraId="130193D2" w14:textId="781EF40A" w:rsidR="00057751" w:rsidRDefault="00B55BEB" w:rsidP="00D3731D">
      <w:pPr>
        <w:spacing w:before="60" w:after="60" w:line="260" w:lineRule="auto"/>
        <w:ind w:left="360" w:hanging="360"/>
        <w:jc w:val="both"/>
      </w:pPr>
      <w:r>
        <w:rPr>
          <w:color w:val="444444"/>
          <w:sz w:val="18"/>
          <w:szCs w:val="18"/>
          <w:lang w:val="es-VE"/>
        </w:rPr>
        <w:t xml:space="preserve">4. Dreyling M, Lenz G, Hoster E, et al. </w:t>
      </w:r>
      <w:r>
        <w:rPr>
          <w:color w:val="444444"/>
          <w:sz w:val="18"/>
          <w:szCs w:val="18"/>
          <w:lang w:val="en-US"/>
        </w:rPr>
        <w:t xml:space="preserve">Ibrutinib plus immunochemotherapy in previously untreated mantle cell lymphoma (TRIANGLE): a randomized phase 3 trial. </w:t>
      </w:r>
      <w:r>
        <w:rPr>
          <w:color w:val="444444"/>
          <w:sz w:val="18"/>
          <w:szCs w:val="18"/>
          <w:lang w:val="es-VE"/>
        </w:rPr>
        <w:t>Lancet. 2023; 401:229–240.</w:t>
      </w:r>
    </w:p>
    <w:p w14:paraId="0000000E" w14:textId="77777777" w:rsidR="00205D31" w:rsidRPr="000C6123" w:rsidRDefault="00000000" w:rsidP="00D3731D">
      <w:pPr>
        <w:pStyle w:val="Ttulo3"/>
        <w:keepNext w:val="0"/>
        <w:keepLines w:val="0"/>
        <w:spacing w:before="280"/>
        <w:jc w:val="both"/>
        <w:rPr>
          <w:b/>
          <w:color w:val="000000"/>
          <w:sz w:val="24"/>
          <w:szCs w:val="24"/>
        </w:rPr>
      </w:pPr>
      <w:bookmarkStart w:id="4" w:name="_heading=h.8tyixwkmush" w:colFirst="0" w:colLast="0"/>
      <w:bookmarkEnd w:id="4"/>
      <w:r>
        <w:rPr>
          <w:b/>
          <w:color w:val="000000"/>
          <w:sz w:val="24"/>
          <w:szCs w:val="24"/>
        </w:rPr>
        <w:t>1.3 ¿La citometría de flujo en médula ósea y sangre periférica sustituye la necesidad de diagnóstico ganglionar?</w:t>
      </w:r>
    </w:p>
    <w:p w14:paraId="0000000F" w14:textId="77777777" w:rsidR="00205D31" w:rsidRDefault="00000000" w:rsidP="00D3731D">
      <w:pPr>
        <w:spacing w:before="240" w:after="240"/>
        <w:jc w:val="both"/>
        <w:rPr>
          <w:i/>
        </w:rPr>
      </w:pPr>
      <w:r>
        <w:rPr>
          <w:i/>
        </w:rPr>
        <w:t>NO, LA CITOMETRÍA DE FLUJO EN MÉDULA ÓSEA Y SANGRE PERIFÉRICA NO SUSTITUYE COMPLETAMENTE LA NECESIDAD DE DIAGNÓSTICO GANGLIONAR. DEBE USARSE COMO COMPLEMENTO DIAGNÓSTICO Y PARA EVALUACIÓN DE ESTADIFICACIÓN, CON CONFIRMACIÓN HISTOLÓGICA GANGLIONAR CUANDO SEA POSIBLE.</w:t>
      </w:r>
    </w:p>
    <w:p w14:paraId="00000010" w14:textId="54037988" w:rsidR="00205D31" w:rsidRDefault="00000000" w:rsidP="00D3731D">
      <w:pPr>
        <w:spacing w:before="240" w:after="240"/>
        <w:jc w:val="both"/>
      </w:pPr>
      <w:r>
        <w:rPr>
          <w:b/>
        </w:rPr>
        <w:t>Justificación</w:t>
      </w:r>
      <w:r>
        <w:t xml:space="preserve">. </w:t>
      </w:r>
      <w:r>
        <w:rPr>
          <w:sz w:val="20"/>
          <w:szCs w:val="20"/>
        </w:rPr>
        <w:t>La citometría de flujo es una técnica confiable para detectar infiltración de LCM en médula ósea y sangre periférica con límite de detección cercano a 8 × 10⁻⁴ en ensayos de cuatro colores, y es adecuada para diagnóstico inicial de infiltración medular. Sin embargo, el diagnóstico definitivo requiere evaluación arquitectural e inmunohistoquímica completa del tejido ganglionar; la citometría no permite evaluar variantes morfológicas (blastoide, pleomórfica); Ki-67 y P53 requieren evaluación en tejido; la caracterización histológica completa tiene implicaciones pronósticas y terapéuticas.</w:t>
      </w:r>
      <w:r>
        <w:t xml:space="preserve"> </w:t>
      </w:r>
    </w:p>
    <w:p w14:paraId="00000011" w14:textId="77777777" w:rsidR="00205D31" w:rsidRPr="00172E82" w:rsidRDefault="00000000" w:rsidP="00D3731D">
      <w:pPr>
        <w:spacing w:before="240" w:after="240"/>
        <w:jc w:val="both"/>
        <w:rPr>
          <w:sz w:val="20"/>
          <w:szCs w:val="20"/>
        </w:rPr>
      </w:pPr>
      <w:r>
        <w:rPr>
          <w:b/>
        </w:rPr>
        <w:lastRenderedPageBreak/>
        <w:t>Declaración (2C).</w:t>
      </w:r>
      <w:r>
        <w:t xml:space="preserve"> </w:t>
      </w:r>
      <w:r>
        <w:rPr>
          <w:sz w:val="20"/>
          <w:szCs w:val="20"/>
        </w:rPr>
        <w:t>No usar citometría de flujo de médula ósea o sangre periférica como único método diagnóstico; obtener tejido ganglionar para diagnóstico definitivo cuando sea factible, y usar citometría de flujo como complemento para estadificación y evaluación medular.</w:t>
      </w:r>
    </w:p>
    <w:p w14:paraId="00000012" w14:textId="77777777" w:rsidR="00205D31" w:rsidRDefault="00000000" w:rsidP="00D3731D">
      <w:pPr>
        <w:pStyle w:val="Ttulo3"/>
        <w:keepNext w:val="0"/>
        <w:keepLines w:val="0"/>
        <w:spacing w:before="280"/>
        <w:jc w:val="both"/>
        <w:rPr>
          <w:b/>
          <w:color w:val="000000"/>
          <w:sz w:val="26"/>
          <w:szCs w:val="26"/>
        </w:rPr>
      </w:pPr>
      <w:bookmarkStart w:id="5" w:name="_heading=h.jt5wjbf29jcj" w:colFirst="0" w:colLast="0"/>
      <w:bookmarkEnd w:id="5"/>
      <w:r>
        <w:rPr>
          <w:b/>
          <w:color w:val="000000"/>
          <w:sz w:val="24"/>
          <w:szCs w:val="24"/>
        </w:rPr>
        <w:t>1.4 ¿Es indispensable la determinación de t(11;14) y del oncogén bcl-1/reordenamiento CCND1?</w:t>
      </w:r>
    </w:p>
    <w:p w14:paraId="00000013" w14:textId="7CE1EE20" w:rsidR="00205D31" w:rsidRDefault="00154430" w:rsidP="00D3731D">
      <w:pPr>
        <w:spacing w:before="240" w:after="240"/>
        <w:jc w:val="both"/>
        <w:rPr>
          <w:i/>
        </w:rPr>
      </w:pPr>
      <w:r>
        <w:rPr>
          <w:i/>
        </w:rPr>
        <w:t>SIEMPRE SE DEBE TRATAR DE DETERMINAR t(11;14) O REORDENAMIENTO CCND1 PARA CONFIRMACIÓN DIAGNÓSTICA DEFINITIVA. EN CASO DE AUSENCIA DE ESTAS TÉCNICAS MOLECULARES, LA EXPRESIÓN DE CICLINA D1 POR IHQ ES ACEPTABLE PARA DIAGNÓSTICO EN EL CONTEXTO CLÍNICO APROPIADO. EN CASOS CICLINA D1-NEGATIVOS, USAR SOX-11 MÁS CORRELACIÓN CLÍNICO-PATOLÓGICA.</w:t>
      </w:r>
    </w:p>
    <w:p w14:paraId="0AA0D6EA" w14:textId="77777777" w:rsidR="00B55BEB" w:rsidRPr="00172E82" w:rsidRDefault="00000000" w:rsidP="00D3731D">
      <w:pPr>
        <w:pStyle w:val="NormalWeb"/>
        <w:jc w:val="both"/>
        <w:rPr>
          <w:rFonts w:ascii="Arial" w:hAnsi="Arial" w:cs="Arial"/>
          <w:sz w:val="20"/>
          <w:szCs w:val="20"/>
        </w:rPr>
      </w:pPr>
      <w:r>
        <w:rPr>
          <w:rFonts w:ascii="Arial" w:hAnsi="Arial" w:cs="Arial"/>
          <w:b/>
          <w:sz w:val="22"/>
          <w:szCs w:val="22"/>
        </w:rPr>
        <w:t>Justificación</w:t>
      </w:r>
      <w:r>
        <w:rPr>
          <w:rFonts w:ascii="Arial" w:hAnsi="Arial" w:cs="Arial"/>
          <w:sz w:val="22"/>
          <w:szCs w:val="22"/>
        </w:rPr>
        <w:t xml:space="preserve">. </w:t>
      </w:r>
      <w:r>
        <w:rPr>
          <w:rFonts w:ascii="Arial" w:hAnsi="Arial" w:cs="Arial"/>
          <w:sz w:val="20"/>
          <w:szCs w:val="20"/>
        </w:rPr>
        <w:t xml:space="preserve">La demostración del reordenamiento de </w:t>
      </w:r>
      <w:r>
        <w:rPr>
          <w:rStyle w:val="Fuerte"/>
          <w:rFonts w:ascii="Arial" w:hAnsi="Arial" w:cs="Arial"/>
          <w:sz w:val="20"/>
          <w:szCs w:val="20"/>
        </w:rPr>
        <w:t>CCND1</w:t>
      </w:r>
      <w:r>
        <w:rPr>
          <w:rFonts w:ascii="Arial" w:hAnsi="Arial" w:cs="Arial"/>
          <w:sz w:val="20"/>
          <w:szCs w:val="20"/>
        </w:rPr>
        <w:t xml:space="preserve"> constituye un criterio diagnóstico esencial según la 5ª edición de la clasificación de la Organización Mundial de la Salud (WHO), siendo la translocación t(11;14)(q13;q32)/IGH-CCND1 la alteración genética definitoria del linfoma de células del manto (LCM).¹ La identificación de esta translocación mediante FISH o técnicas moleculares representa el estándar de oro diagnóstico al proporcionar confirmación genética directa. Sin embargo, dichas técnicas no están disponibles de manera rutinaria en la mayoría de los centros latinoamericanos, lo que exige estrategias diagnósticas pragmáticas en entornos de recursos limitados.</w:t>
      </w:r>
    </w:p>
    <w:p w14:paraId="00000014" w14:textId="1366D844" w:rsidR="00205D31" w:rsidRPr="00172E82" w:rsidRDefault="00B55BEB" w:rsidP="00D3731D">
      <w:pPr>
        <w:pStyle w:val="NormalWeb"/>
        <w:jc w:val="both"/>
        <w:rPr>
          <w:rFonts w:ascii="Arial" w:hAnsi="Arial" w:cs="Arial"/>
          <w:sz w:val="20"/>
          <w:szCs w:val="20"/>
        </w:rPr>
      </w:pPr>
      <w:r>
        <w:rPr>
          <w:rFonts w:ascii="Arial" w:hAnsi="Arial" w:cs="Arial"/>
          <w:sz w:val="20"/>
          <w:szCs w:val="20"/>
        </w:rPr>
        <w:t xml:space="preserve">La inmunohistoquímica para ciclina D1 muestra una concordancia superior al 90–95% con la presencia de la t(11;14), dado que más del 95% de los LCM convencionales sobreexpresan ciclina D1 como consecuencia directa del reordenamiento de </w:t>
      </w:r>
      <w:r>
        <w:rPr>
          <w:rStyle w:val="Fuerte"/>
          <w:rFonts w:ascii="Arial" w:hAnsi="Arial" w:cs="Arial"/>
          <w:sz w:val="20"/>
          <w:szCs w:val="20"/>
        </w:rPr>
        <w:t>CCND1</w:t>
      </w:r>
      <w:r>
        <w:rPr>
          <w:rFonts w:ascii="Arial" w:hAnsi="Arial" w:cs="Arial"/>
          <w:sz w:val="20"/>
          <w:szCs w:val="20"/>
        </w:rPr>
        <w:t xml:space="preserve">.²–⁴ Por ello, en ausencia de confirmación citogenética, la sobreexpresión nuclear de ciclina D1 por inmunohistoquímica constituye un sustituto diagnóstico altamente confiable. No obstante, aproximadamente 3–5% de los LCM son ciclina D1-negativos; en estos casos, la expresión de </w:t>
      </w:r>
      <w:r>
        <w:rPr>
          <w:rStyle w:val="Fuerte"/>
          <w:rFonts w:ascii="Arial" w:hAnsi="Arial" w:cs="Arial"/>
          <w:sz w:val="20"/>
          <w:szCs w:val="20"/>
        </w:rPr>
        <w:t>SOX11</w:t>
      </w:r>
      <w:r>
        <w:rPr>
          <w:rFonts w:ascii="Arial" w:hAnsi="Arial" w:cs="Arial"/>
          <w:sz w:val="20"/>
          <w:szCs w:val="20"/>
        </w:rPr>
        <w:t xml:space="preserve"> resulta fundamental para confirmar el diagnóstico y excluir otros linfomas de células B pequeñas.⁵,⁶</w:t>
      </w:r>
    </w:p>
    <w:p w14:paraId="00000015" w14:textId="2D97F14A" w:rsidR="00205D31" w:rsidRDefault="00000000" w:rsidP="00D3731D">
      <w:pPr>
        <w:spacing w:before="240" w:after="240"/>
        <w:jc w:val="both"/>
        <w:rPr>
          <w:sz w:val="20"/>
          <w:szCs w:val="20"/>
        </w:rPr>
      </w:pPr>
      <w:r>
        <w:rPr>
          <w:b/>
        </w:rPr>
        <w:t>Declaración (2C).</w:t>
      </w:r>
      <w:r>
        <w:t xml:space="preserve"> </w:t>
      </w:r>
      <w:r>
        <w:rPr>
          <w:sz w:val="20"/>
          <w:szCs w:val="20"/>
        </w:rPr>
        <w:t>Realizar determinación de t(11;14) o reordenamiento CCND1 cuando técnicas moleculares sea posible (gold standard); en su ausencia, aceptar expresión de ciclina D1 por IHQ para diagnóstico en contexto clínico apropiado, y usar SOX-11 para casos ciclina D1-negativos.</w:t>
      </w:r>
    </w:p>
    <w:p w14:paraId="3D8EF2E3" w14:textId="77777777" w:rsidR="00D73E4E" w:rsidRPr="00172E82" w:rsidRDefault="00D73E4E" w:rsidP="00D3731D">
      <w:pPr>
        <w:spacing w:before="240" w:after="240"/>
        <w:jc w:val="both"/>
        <w:rPr>
          <w:sz w:val="20"/>
          <w:szCs w:val="20"/>
        </w:rPr>
      </w:pPr>
    </w:p>
    <w:p w14:paraId="0BD35FB7" w14:textId="0737C66D" w:rsidR="002E0830" w:rsidRPr="002E0830" w:rsidRDefault="002E0830" w:rsidP="00D3731D">
      <w:pPr>
        <w:spacing w:before="60" w:after="60" w:line="260" w:lineRule="auto"/>
        <w:ind w:left="360" w:hanging="360"/>
        <w:jc w:val="both"/>
        <w:rPr>
          <w:b/>
          <w:bCs/>
          <w:color w:val="444444"/>
          <w:sz w:val="18"/>
          <w:szCs w:val="18"/>
          <w:lang w:val="es-VE"/>
        </w:rPr>
      </w:pPr>
      <w:r>
        <w:rPr>
          <w:b/>
          <w:bCs/>
          <w:color w:val="444444"/>
          <w:sz w:val="18"/>
          <w:szCs w:val="18"/>
          <w:lang w:val="es-VE"/>
        </w:rPr>
        <w:t xml:space="preserve">Bibliografia </w:t>
      </w:r>
    </w:p>
    <w:p w14:paraId="54F01F6F" w14:textId="06DD3EF5" w:rsidR="00B55BEB" w:rsidRPr="00833E37" w:rsidRDefault="00B55BEB" w:rsidP="00D3731D">
      <w:pPr>
        <w:spacing w:before="60" w:after="60" w:line="260" w:lineRule="auto"/>
        <w:ind w:left="360" w:hanging="360"/>
        <w:jc w:val="both"/>
        <w:rPr>
          <w:color w:val="444444"/>
          <w:sz w:val="18"/>
          <w:szCs w:val="18"/>
          <w:lang w:val="es-VE"/>
        </w:rPr>
      </w:pPr>
      <w:r>
        <w:rPr>
          <w:color w:val="444444"/>
          <w:sz w:val="18"/>
          <w:szCs w:val="18"/>
          <w:lang w:val="es-VE"/>
        </w:rPr>
        <w:t>1.</w:t>
      </w:r>
      <w:r>
        <w:rPr>
          <w:color w:val="444444"/>
          <w:sz w:val="18"/>
          <w:szCs w:val="18"/>
          <w:lang w:val="es-VE"/>
        </w:rPr>
        <w:tab/>
        <w:t xml:space="preserve">Alaggio R, Amador C, Anagnostopoulos I, et al. </w:t>
      </w:r>
      <w:r>
        <w:rPr>
          <w:color w:val="444444"/>
          <w:sz w:val="18"/>
          <w:szCs w:val="18"/>
          <w:lang w:val="en-US"/>
        </w:rPr>
        <w:t xml:space="preserve">The 5th edition of the World Health Organization classification of hematolymphoid tumors: lymphoid neoplasms. </w:t>
      </w:r>
      <w:r>
        <w:rPr>
          <w:color w:val="444444"/>
          <w:sz w:val="18"/>
          <w:szCs w:val="18"/>
          <w:lang w:val="es-VE"/>
        </w:rPr>
        <w:t>Leukemia. 2022; 36:1720–1748.</w:t>
      </w:r>
    </w:p>
    <w:p w14:paraId="66F4667E" w14:textId="04C35713" w:rsidR="00B55BEB" w:rsidRPr="00F67E48" w:rsidRDefault="00B55BEB" w:rsidP="00D3731D">
      <w:pPr>
        <w:spacing w:before="60" w:after="60" w:line="260" w:lineRule="auto"/>
        <w:ind w:left="360" w:hanging="360"/>
        <w:jc w:val="both"/>
        <w:rPr>
          <w:color w:val="444444"/>
          <w:sz w:val="18"/>
          <w:szCs w:val="18"/>
          <w:lang w:val="en-US"/>
        </w:rPr>
      </w:pPr>
      <w:r>
        <w:rPr>
          <w:color w:val="444444"/>
          <w:sz w:val="18"/>
          <w:szCs w:val="18"/>
          <w:lang w:val="es-VE"/>
        </w:rPr>
        <w:t>2.</w:t>
      </w:r>
      <w:r>
        <w:rPr>
          <w:color w:val="444444"/>
          <w:sz w:val="18"/>
          <w:szCs w:val="18"/>
          <w:lang w:val="es-VE"/>
        </w:rPr>
        <w:tab/>
        <w:t xml:space="preserve">Campo E, Raffeld M, Jaffe ES. Mantle-cell lymphoma. </w:t>
      </w:r>
      <w:r>
        <w:rPr>
          <w:color w:val="444444"/>
          <w:sz w:val="18"/>
          <w:szCs w:val="18"/>
          <w:lang w:val="en-US"/>
        </w:rPr>
        <w:t>Semin Hematol. 1999;36(2):115–127.</w:t>
      </w:r>
    </w:p>
    <w:p w14:paraId="490CCAD0" w14:textId="2D9B97CA" w:rsidR="00B55BEB" w:rsidRPr="00F67E48" w:rsidRDefault="00B55BEB" w:rsidP="00D3731D">
      <w:pPr>
        <w:spacing w:before="60" w:after="60" w:line="260" w:lineRule="auto"/>
        <w:ind w:left="360" w:hanging="360"/>
        <w:jc w:val="both"/>
        <w:rPr>
          <w:color w:val="444444"/>
          <w:sz w:val="18"/>
          <w:szCs w:val="18"/>
          <w:lang w:val="en-US"/>
        </w:rPr>
      </w:pPr>
      <w:r>
        <w:rPr>
          <w:color w:val="444444"/>
          <w:sz w:val="18"/>
          <w:szCs w:val="18"/>
          <w:lang w:val="en-US"/>
        </w:rPr>
        <w:t>3.</w:t>
      </w:r>
      <w:r>
        <w:rPr>
          <w:color w:val="444444"/>
          <w:sz w:val="18"/>
          <w:szCs w:val="18"/>
          <w:lang w:val="en-US"/>
        </w:rPr>
        <w:tab/>
        <w:t>Rosenwald A, Wright G, Wiestner A, et al. The proliferation gene expression signature is a quantitative integrator of oncogenic events in mantle cell lymphoma. Blood. 2003; 101:3407–3413.</w:t>
      </w:r>
    </w:p>
    <w:p w14:paraId="0ACD5BA4" w14:textId="4C45092C" w:rsidR="00B55BEB" w:rsidRPr="00F67E48" w:rsidRDefault="00B55BEB" w:rsidP="00D3731D">
      <w:pPr>
        <w:spacing w:before="60" w:after="60" w:line="260" w:lineRule="auto"/>
        <w:ind w:left="360" w:hanging="360"/>
        <w:jc w:val="both"/>
        <w:rPr>
          <w:color w:val="444444"/>
          <w:sz w:val="18"/>
          <w:szCs w:val="18"/>
          <w:lang w:val="en-US"/>
        </w:rPr>
      </w:pPr>
      <w:r>
        <w:rPr>
          <w:color w:val="444444"/>
          <w:sz w:val="18"/>
          <w:szCs w:val="18"/>
          <w:lang w:val="en-US"/>
        </w:rPr>
        <w:t>4.</w:t>
      </w:r>
      <w:r>
        <w:rPr>
          <w:color w:val="444444"/>
          <w:sz w:val="18"/>
          <w:szCs w:val="18"/>
          <w:lang w:val="en-US"/>
        </w:rPr>
        <w:tab/>
        <w:t>Swerdlow SH, Campo E, Harris NL, et al., eds. WHO Classification of Tumors of Hematopoietic and Lymphoid Tissues. Revised 4th ed. IARC; 2017.</w:t>
      </w:r>
    </w:p>
    <w:p w14:paraId="03416066" w14:textId="451AF308" w:rsidR="00B55BEB" w:rsidRPr="00F67E48" w:rsidRDefault="00B55BEB" w:rsidP="00D3731D">
      <w:pPr>
        <w:spacing w:before="60" w:after="60" w:line="260" w:lineRule="auto"/>
        <w:ind w:left="360" w:hanging="360"/>
        <w:jc w:val="both"/>
        <w:rPr>
          <w:color w:val="444444"/>
          <w:sz w:val="18"/>
          <w:szCs w:val="18"/>
          <w:lang w:val="en-US"/>
        </w:rPr>
      </w:pPr>
      <w:r>
        <w:rPr>
          <w:color w:val="444444"/>
          <w:sz w:val="18"/>
          <w:szCs w:val="18"/>
          <w:lang w:val="en-US"/>
        </w:rPr>
        <w:t>5.</w:t>
      </w:r>
      <w:r>
        <w:rPr>
          <w:color w:val="444444"/>
          <w:sz w:val="18"/>
          <w:szCs w:val="18"/>
          <w:lang w:val="en-US"/>
        </w:rPr>
        <w:tab/>
        <w:t>Mozos A, Royo C, Hartmann E, et al. SOX11 expression is highly specific for mantle cell lymphoma and identifies the cyclin D1-negative subtype. Blood. 2009; 113:3819–3829.</w:t>
      </w:r>
    </w:p>
    <w:p w14:paraId="1B1B7CAB" w14:textId="35EA464C" w:rsidR="00B55BEB" w:rsidRPr="000C6123" w:rsidRDefault="00B55BEB" w:rsidP="00D3731D">
      <w:pPr>
        <w:spacing w:before="60" w:after="60" w:line="260" w:lineRule="auto"/>
        <w:ind w:left="360" w:hanging="360"/>
        <w:jc w:val="both"/>
        <w:rPr>
          <w:color w:val="444444"/>
          <w:sz w:val="18"/>
          <w:szCs w:val="18"/>
          <w:lang w:val="es-VE"/>
        </w:rPr>
      </w:pPr>
      <w:r>
        <w:rPr>
          <w:color w:val="444444"/>
          <w:sz w:val="18"/>
          <w:szCs w:val="18"/>
          <w:lang w:val="en-US"/>
        </w:rPr>
        <w:t>6.</w:t>
      </w:r>
      <w:r>
        <w:rPr>
          <w:color w:val="444444"/>
          <w:sz w:val="18"/>
          <w:szCs w:val="18"/>
          <w:lang w:val="en-US"/>
        </w:rPr>
        <w:tab/>
        <w:t xml:space="preserve">Fernández V, Salamero O, Espinet B, et al. Genomic and gene expression profiling defines indolent forms of mantle cell lymphoma. </w:t>
      </w:r>
      <w:r>
        <w:rPr>
          <w:color w:val="444444"/>
          <w:sz w:val="18"/>
          <w:szCs w:val="18"/>
          <w:lang w:val="es-VE"/>
        </w:rPr>
        <w:t>Cancer Res. 2010; 70:1408–1418</w:t>
      </w:r>
    </w:p>
    <w:p w14:paraId="00000016" w14:textId="77777777" w:rsidR="00205D31" w:rsidRPr="000C6123" w:rsidRDefault="00000000" w:rsidP="00D3731D">
      <w:pPr>
        <w:pStyle w:val="Ttulo3"/>
        <w:keepNext w:val="0"/>
        <w:keepLines w:val="0"/>
        <w:spacing w:before="280"/>
        <w:jc w:val="both"/>
        <w:rPr>
          <w:b/>
          <w:color w:val="000000"/>
          <w:sz w:val="24"/>
          <w:szCs w:val="24"/>
        </w:rPr>
      </w:pPr>
      <w:bookmarkStart w:id="6" w:name="_heading=h.lzdq56rt46zr" w:colFirst="0" w:colLast="0"/>
      <w:bookmarkEnd w:id="6"/>
      <w:r>
        <w:rPr>
          <w:b/>
          <w:color w:val="000000"/>
          <w:sz w:val="24"/>
          <w:szCs w:val="24"/>
        </w:rPr>
        <w:t>1.5 ¿Cuáles son los biomarcadores predictores de riesgo e índices pronósticos relevantes en LCM?</w:t>
      </w:r>
    </w:p>
    <w:p w14:paraId="00000017" w14:textId="77777777" w:rsidR="00205D31" w:rsidRDefault="00000000" w:rsidP="00D3731D">
      <w:pPr>
        <w:spacing w:before="240" w:after="240"/>
        <w:jc w:val="both"/>
        <w:rPr>
          <w:i/>
        </w:rPr>
      </w:pPr>
      <w:r>
        <w:rPr>
          <w:i/>
        </w:rPr>
        <w:t xml:space="preserve">CALCULAR SCORE MIPI O MIPIc EN TODOS LOS PACIENTES AL DIAGNÓSTICO; DETERMINAR Ki-67 CON PUNTO DE CORTE DE 30%; EVALUAR MORFOLOGÍA </w:t>
      </w:r>
      <w:r>
        <w:rPr>
          <w:i/>
        </w:rPr>
        <w:lastRenderedPageBreak/>
        <w:t>(CLÁSICA VS BLASTOIDE VS PLEOMÓRFICA); DETERMINAR P53 POR IHQ O NGS SEGÚN DISPONIBILIDAD. LOS BIOMARCADORES CLÍNICAMENTE RELEVANTES INCLUYEN: Ki-67 (PUNTO DE CORTE 30%), VARIANTES MORFOLÓGICAS, P53, SCORE MIPI/MIPIc, Y CARIOTIPO COMPLEJO CUANDO SEA FACTIBLE.</w:t>
      </w:r>
    </w:p>
    <w:p w14:paraId="00000018" w14:textId="6059CC3A" w:rsidR="00205D31" w:rsidRPr="00172E82" w:rsidRDefault="00000000" w:rsidP="00D3731D">
      <w:pPr>
        <w:spacing w:before="240" w:after="240"/>
        <w:jc w:val="both"/>
        <w:rPr>
          <w:sz w:val="20"/>
          <w:szCs w:val="20"/>
        </w:rPr>
      </w:pPr>
      <w:r>
        <w:rPr>
          <w:rFonts w:eastAsia="Times New Roman"/>
          <w:b/>
          <w:bCs/>
          <w:sz w:val="24"/>
          <w:szCs w:val="24"/>
          <w:lang w:val="es-VE" w:eastAsia="es-MX"/>
        </w:rPr>
        <w:t>Justificación</w:t>
      </w:r>
      <w:sdt>
        <w:sdtPr>
          <w:rPr>
            <w:rFonts w:eastAsia="Times New Roman"/>
            <w:sz w:val="20"/>
            <w:szCs w:val="20"/>
            <w:lang w:val="es-VE" w:eastAsia="es-MX"/>
          </w:rPr>
          <w:tag w:val="goog_rdk_0"/>
          <w:id w:val="-1406346067"/>
        </w:sdtPr>
        <w:sdtContent>
          <w:r>
            <w:rPr>
              <w:rFonts w:eastAsia="Times New Roman"/>
              <w:sz w:val="20"/>
              <w:szCs w:val="20"/>
              <w:lang w:val="es-VE" w:eastAsia="es-MX"/>
            </w:rPr>
            <w:t xml:space="preserve">. MIPI (Mantle Cell Lymphoma International Prognostic Index) y MIPIc (combinado) son scores validados; MIPI de alto riesgo (score ≥6.2 o 6-11 en versión simplificada) identifica pacientes con SG mediana de 29 meses. Ki-67 ≥30% se asocia con peor pronóstico (aunque su valor en la era de terapias novedosas está en revisión). Las variantes morfológicas blastoides/pleomórficas tienen peor pronóstico. P53 es el factor pronóstico independiente más importante, con SG mediana de 1.8 años versus 12.7 años en TP53 </w:t>
          </w:r>
        </w:sdtContent>
      </w:sdt>
      <w:r>
        <w:rPr>
          <w:rFonts w:eastAsia="Times New Roman"/>
          <w:sz w:val="20"/>
          <w:szCs w:val="20"/>
          <w:lang w:val="es-VE" w:eastAsia="es-MX"/>
        </w:rPr>
        <w:t>tipo salvaje. Desde perspectiva histopatológica, características blastoides/pleomórficas, Ki-67 alto, positividad CD5 y patrón difuso se asocian con peor pronóstico. Alteraciones moleculares asociadas a peor pronóstico incluyen TP53 (31%) y NOTCH1 (14%). El cariotipo complejo se asocia con supervivencia inferior y estos pacientes responden pobremente</w:t>
      </w:r>
      <w:r>
        <w:rPr>
          <w:rFonts w:eastAsia="Arimo"/>
          <w:sz w:val="20"/>
          <w:szCs w:val="20"/>
        </w:rPr>
        <w:t xml:space="preserve"> a inducción con quimo-inmunoterapia intensiva. La estratificación pronóstica permite toma de decisiones terapéuticas informadas; MIPI/MIPIc son herramientas validadas internacionalmente y fáciles de calcular; la identificación de cariotipo complejo debe considerarse marcador de alto riesgo biológico, y en estos casos se sugiere estrategia terapéutica individualizada, priorizando regímenes basados en terapias dianas inclusión en ensayos clínicos.</w:t>
      </w:r>
    </w:p>
    <w:p w14:paraId="00000019" w14:textId="77777777" w:rsidR="00205D31" w:rsidRDefault="00000000" w:rsidP="00D3731D">
      <w:pPr>
        <w:spacing w:before="240" w:after="240"/>
        <w:jc w:val="both"/>
      </w:pPr>
      <w:r>
        <w:rPr>
          <w:b/>
        </w:rPr>
        <w:t>Declaración (1B).</w:t>
      </w:r>
      <w:r>
        <w:t xml:space="preserve"> </w:t>
      </w:r>
      <w:r>
        <w:rPr>
          <w:sz w:val="20"/>
          <w:szCs w:val="20"/>
        </w:rPr>
        <w:t>Calcular score MIPI o MIPIc en todos los pacientes al diagnóstico; determinar Ki-67 con punto de corte de 30%; evaluar morfología para variantes blastoides o pleomórficas; determinar estado de P53 por IHQ o NGS; realizar estudio citogenético convencional para detección de cariotipo complejo cuando sea posible, ya que permite estratificación de riesgo biológico más precisa.</w:t>
      </w:r>
    </w:p>
    <w:p w14:paraId="0000001A" w14:textId="4110B819" w:rsidR="00205D31" w:rsidRPr="000C6123" w:rsidRDefault="00000000" w:rsidP="00D3731D">
      <w:pPr>
        <w:pStyle w:val="Ttulo3"/>
        <w:keepNext w:val="0"/>
        <w:keepLines w:val="0"/>
        <w:spacing w:before="280"/>
        <w:jc w:val="both"/>
        <w:rPr>
          <w:b/>
          <w:color w:val="000000"/>
          <w:sz w:val="24"/>
          <w:szCs w:val="24"/>
        </w:rPr>
      </w:pPr>
      <w:bookmarkStart w:id="7" w:name="_heading=h.sbor7vutvupp" w:colFirst="0" w:colLast="0"/>
      <w:bookmarkEnd w:id="7"/>
      <w:r>
        <w:rPr>
          <w:b/>
          <w:color w:val="000000"/>
          <w:sz w:val="24"/>
          <w:szCs w:val="24"/>
        </w:rPr>
        <w:t>1.6 ¿Retiene Ki-67 su valor en la era de terapias novedosas, considerando la variabilidad interobservador  y puntos de corte de vida real en América Latina?</w:t>
      </w:r>
    </w:p>
    <w:p w14:paraId="0000001B" w14:textId="77777777" w:rsidR="00205D31" w:rsidRDefault="00000000" w:rsidP="00D3731D">
      <w:pPr>
        <w:spacing w:before="240" w:after="240"/>
        <w:jc w:val="both"/>
        <w:rPr>
          <w:i/>
        </w:rPr>
      </w:pPr>
      <w:r>
        <w:rPr>
          <w:i/>
        </w:rPr>
        <w:t>CONTINUAR USANDO EL PUNTO DE CORTE DE 30% PARA Ki-67, PERO EVITAR DECISIONES TERAPÉUTICAS BASADAS ÚNICAMENTE EN PEQUEÑAS DIFERENCIAS ALREDEDOR DEL PUNTO DE CORTE. INTEGRAR Ki-67 EN EL CONTEXTO DE OTROS FACTORES PRONÓSTICOS (MIPI, P53, MORFOLOGÍA), RECONOCER LIMITACIONES DE VARIABILIDAD INTEROBSERVADOR, Y CONSIDERAR QUE EL VALOR PRONÓSTICO PUEDE ESTAR DISMINUIDO EN PACIENTES QUE RECIBEN TERAPIAS DIRIGIDAS.</w:t>
      </w:r>
    </w:p>
    <w:p w14:paraId="134CD27F" w14:textId="4D82FF9A" w:rsidR="001C55B5" w:rsidRPr="00172E82" w:rsidRDefault="00000000" w:rsidP="00D3731D">
      <w:pPr>
        <w:spacing w:before="240" w:after="240"/>
        <w:jc w:val="both"/>
        <w:rPr>
          <w:sz w:val="20"/>
          <w:szCs w:val="20"/>
          <w:lang w:val="es-VE"/>
        </w:rPr>
      </w:pPr>
      <w:r>
        <w:rPr>
          <w:b/>
          <w:lang w:val="es-VE"/>
        </w:rPr>
        <w:t>Justificación</w:t>
      </w:r>
      <w:r>
        <w:rPr>
          <w:lang w:val="es-VE"/>
        </w:rPr>
        <w:t xml:space="preserve">: </w:t>
      </w:r>
      <w:r>
        <w:rPr>
          <w:sz w:val="20"/>
          <w:szCs w:val="20"/>
          <w:lang w:val="es-VE"/>
        </w:rPr>
        <w:t>El índice de proliferación Ki-67 constituye un marcador pronóstico independiente y reproducidamente validado en el linfoma del manto (LCM). Su impacto adverso en la supervivencia global fue demostrado inicialmente en ensayos prospectivos aleatorizados del European MCL Network, donde un punto de corte ≥30% identificó pacientes con supervivencia significativamente inferior, tanto en la era pre-rituximab como tras su incorporación a la quimioinmunoterapia estándar.¹,² Este umbral del 30% fue posteriormente integrado en el modelo biológico del MIPI (MIPI-b), consolidándose como referencia internacional para la estratificación de riesgo.² En consecuencia, las guías contemporáneas continúan considerando ≥30% como el punto de corte estándar para categorización pronóstica. No obstante, la aplicabilidad clínica del Ki-67 presenta limitaciones metodológicas relevantes. El Panel de Patología del European MCL Network demostró una variabilidad interobservador significativa cuando la estimación se realiza mediante evaluación visual (“eyeballing”), que sigue siendo la práctica más frecuente en la rutina diagnóstica. La concordancia con el conteo celular formal —considerado el estándar de referencia— fue baja (coeficiente de correlación de concordancia 0.29–0.61).³ Asimismo, los puntos de corte reportados en la literatura oscilan ampliamente entre 10% y 60%.³,⁴</w:t>
      </w:r>
    </w:p>
    <w:p w14:paraId="2356D64C" w14:textId="2D4D9465" w:rsidR="001C55B5" w:rsidRPr="00172E82" w:rsidRDefault="001C55B5" w:rsidP="00D3731D">
      <w:pPr>
        <w:spacing w:before="240" w:after="240"/>
        <w:jc w:val="both"/>
        <w:rPr>
          <w:sz w:val="20"/>
          <w:szCs w:val="20"/>
          <w:lang w:val="es-VE"/>
        </w:rPr>
      </w:pPr>
      <w:r>
        <w:rPr>
          <w:sz w:val="20"/>
          <w:szCs w:val="20"/>
          <w:lang w:val="es-VE"/>
        </w:rPr>
        <w:lastRenderedPageBreak/>
        <w:t>Estos hallazgos indican que valores cercanos al umbral (±5–10%) no deben interpretarse de forma categórica, y que las decisiones terapéuticas no deben fundamentarse en el índice proliferativo como marcador aislado. En el contexto de terapias dirigidas, Ki-67 ≥30% mantiene valor pronóstico adverso en pacientes tratados en segunda línea con inhibidores de BTK, asociándose de forma independiente con menor supervivencia libre de progresión y supervivencia global.⁵ Sin embargo, su valor predictivo específico en esquemas de primera línea basados en inhibidores de BTK u otras estrategias dirigidas permanece indefinido, dado que no existen aún datos prospectivos diseñados para responder esta cuestión.</w:t>
      </w:r>
    </w:p>
    <w:p w14:paraId="0000001E" w14:textId="6C9CECCE" w:rsidR="00205D31" w:rsidRPr="00172E82" w:rsidRDefault="00000000" w:rsidP="00D3731D">
      <w:pPr>
        <w:spacing w:before="240" w:after="240"/>
        <w:jc w:val="both"/>
        <w:rPr>
          <w:b/>
          <w:sz w:val="20"/>
          <w:szCs w:val="20"/>
          <w:lang w:val="es-VE"/>
        </w:rPr>
      </w:pPr>
      <w:r>
        <w:rPr>
          <w:b/>
        </w:rPr>
        <w:t>Declaración (2D).</w:t>
      </w:r>
      <w:r>
        <w:t xml:space="preserve"> </w:t>
      </w:r>
      <w:r>
        <w:rPr>
          <w:sz w:val="20"/>
          <w:szCs w:val="20"/>
        </w:rPr>
        <w:t>Continuar usando el punto de corte de 30% para Ki-67 como parte de la estratificación de riesgo, pero integrarlo con otros factores pronósticos (MIPI, P53, morfología) en lugar de tomar decisiones de tratamiento basadas en pequeñas diferencias alrededor del punto de corte; reconocer que su valor pronóstico puede estar atenuado con terapias dirigidas.</w:t>
      </w:r>
    </w:p>
    <w:p w14:paraId="35E2D99E" w14:textId="4D4E30CE" w:rsidR="000E2009" w:rsidRPr="002E0830" w:rsidRDefault="002E0830" w:rsidP="00D3731D">
      <w:pPr>
        <w:spacing w:before="60" w:after="60" w:line="260" w:lineRule="auto"/>
        <w:ind w:left="360" w:hanging="360"/>
        <w:jc w:val="both"/>
        <w:rPr>
          <w:b/>
          <w:bCs/>
          <w:color w:val="444444"/>
          <w:sz w:val="18"/>
          <w:szCs w:val="18"/>
          <w:lang w:val="en-US"/>
        </w:rPr>
      </w:pPr>
      <w:r>
        <w:rPr>
          <w:b/>
          <w:bCs/>
          <w:color w:val="444444"/>
          <w:sz w:val="18"/>
          <w:szCs w:val="18"/>
          <w:lang w:val="en-US"/>
        </w:rPr>
        <w:t xml:space="preserve">Bibliografia </w:t>
      </w:r>
    </w:p>
    <w:p w14:paraId="0ACEAFF7" w14:textId="6823AD33" w:rsidR="000E2009" w:rsidRPr="00CC633F" w:rsidRDefault="00000000" w:rsidP="00D3731D">
      <w:pPr>
        <w:spacing w:before="60" w:after="60" w:line="260" w:lineRule="auto"/>
        <w:ind w:left="360" w:hanging="360"/>
        <w:jc w:val="both"/>
        <w:rPr>
          <w:color w:val="444444"/>
          <w:sz w:val="18"/>
          <w:szCs w:val="18"/>
          <w:lang w:val="es-VE"/>
        </w:rPr>
      </w:pPr>
      <w:r>
        <w:rPr>
          <w:color w:val="444444"/>
          <w:sz w:val="18"/>
          <w:szCs w:val="18"/>
          <w:lang w:val="en-US"/>
        </w:rPr>
        <w:t xml:space="preserve">1.-Swerdlow SH, et al. WHO Classification of Tumors of Hematopoietic and Lymphoid Tissues. </w:t>
      </w:r>
      <w:r>
        <w:rPr>
          <w:color w:val="444444"/>
          <w:sz w:val="18"/>
          <w:szCs w:val="18"/>
          <w:lang w:val="es-VE"/>
        </w:rPr>
        <w:t>IARC; 2022.ç</w:t>
      </w:r>
    </w:p>
    <w:p w14:paraId="16E631CF" w14:textId="77777777" w:rsidR="000E2009" w:rsidRPr="001C55B5" w:rsidRDefault="000E2009" w:rsidP="00D3731D">
      <w:pPr>
        <w:spacing w:before="60" w:after="60" w:line="260" w:lineRule="auto"/>
        <w:ind w:left="360" w:hanging="360"/>
        <w:jc w:val="both"/>
        <w:rPr>
          <w:color w:val="444444"/>
          <w:sz w:val="18"/>
          <w:szCs w:val="18"/>
          <w:lang w:val="en-US"/>
        </w:rPr>
      </w:pPr>
      <w:r>
        <w:rPr>
          <w:color w:val="444444"/>
          <w:sz w:val="18"/>
          <w:szCs w:val="18"/>
          <w:lang w:val="es-VE"/>
        </w:rPr>
        <w:t xml:space="preserve">.2 Determann O, Hoster E, Ott G, et al. </w:t>
      </w:r>
      <w:r>
        <w:rPr>
          <w:color w:val="444444"/>
          <w:sz w:val="18"/>
          <w:szCs w:val="18"/>
          <w:lang w:val="en-US"/>
        </w:rPr>
        <w:t>Ki-67 predicts outcome in advanced-stage mantle cell lymphoma patients treated with anti-CD20 immunochemotherapy: results from randomized trials of the European MCL Network and the German Low Grade Lymphoma Study Group. Blood. 2008;111(4):2385–2387.</w:t>
      </w:r>
    </w:p>
    <w:p w14:paraId="36544214" w14:textId="77777777" w:rsidR="000E2009" w:rsidRPr="001C55B5" w:rsidRDefault="000E2009" w:rsidP="00D3731D">
      <w:pPr>
        <w:spacing w:before="60" w:after="60" w:line="260" w:lineRule="auto"/>
        <w:ind w:left="360" w:hanging="360"/>
        <w:jc w:val="both"/>
        <w:rPr>
          <w:color w:val="444444"/>
          <w:sz w:val="18"/>
          <w:szCs w:val="18"/>
          <w:lang w:val="en-US"/>
        </w:rPr>
      </w:pPr>
      <w:r>
        <w:rPr>
          <w:color w:val="444444"/>
          <w:sz w:val="18"/>
          <w:szCs w:val="18"/>
          <w:lang w:val="en-US"/>
        </w:rPr>
        <w:t xml:space="preserve"> 3. Hoster E, Rosenwald A, Berger F, et al. Prognostic value of Ki-67 index, cytology, and growth pattern in mantle-cell lymphoma: results from randomized trials of the European Mantle Cell Lymphoma Network. J Clin Oncol. 2016;34(12):1386–1394</w:t>
      </w:r>
    </w:p>
    <w:p w14:paraId="25B54A41" w14:textId="77777777" w:rsidR="000E2009" w:rsidRPr="001C55B5" w:rsidRDefault="000E2009" w:rsidP="00D3731D">
      <w:pPr>
        <w:spacing w:before="60" w:after="60" w:line="260" w:lineRule="auto"/>
        <w:ind w:left="360" w:hanging="360"/>
        <w:jc w:val="both"/>
        <w:rPr>
          <w:color w:val="444444"/>
          <w:sz w:val="18"/>
          <w:szCs w:val="18"/>
          <w:lang w:val="en-US"/>
        </w:rPr>
      </w:pPr>
      <w:r>
        <w:rPr>
          <w:color w:val="444444"/>
          <w:sz w:val="18"/>
          <w:szCs w:val="18"/>
          <w:lang w:val="en-US"/>
        </w:rPr>
        <w:t xml:space="preserve">4. Klapper W, Hoster E, Determann O, et al. Ki-67 as a prognostic marker in mantle cell lymphoma — consensus guidelines of the pathology panel of the European MCL Network. J Hematop. 2009;2(2):103–111. </w:t>
      </w:r>
    </w:p>
    <w:p w14:paraId="5D76FC6B" w14:textId="77777777" w:rsidR="000E2009" w:rsidRPr="001C55B5" w:rsidRDefault="000E2009" w:rsidP="00D3731D">
      <w:pPr>
        <w:spacing w:before="60" w:after="60" w:line="260" w:lineRule="auto"/>
        <w:ind w:left="360" w:hanging="360"/>
        <w:jc w:val="both"/>
        <w:rPr>
          <w:color w:val="444444"/>
          <w:sz w:val="18"/>
          <w:szCs w:val="18"/>
          <w:lang w:val="en-US"/>
        </w:rPr>
      </w:pPr>
      <w:r>
        <w:rPr>
          <w:color w:val="444444"/>
          <w:sz w:val="18"/>
          <w:szCs w:val="18"/>
          <w:lang w:val="en-US"/>
        </w:rPr>
        <w:t>5. Schaffel R, Hedvat CV, Teruya-Feldstein J, et al. Prognostic impact of proliferative index determined by quantitative image analysis and the International Prognostic Index in patients with mantle cell lymphoma. Ann Oncol. 2010;21(1):133–139</w:t>
      </w:r>
    </w:p>
    <w:p w14:paraId="30251B59" w14:textId="77777777" w:rsidR="000E2009" w:rsidRPr="001C55B5" w:rsidRDefault="000E2009" w:rsidP="00D3731D">
      <w:pPr>
        <w:spacing w:before="60" w:after="60" w:line="260" w:lineRule="auto"/>
        <w:ind w:left="360" w:hanging="360"/>
        <w:jc w:val="both"/>
        <w:rPr>
          <w:color w:val="444444"/>
          <w:sz w:val="18"/>
          <w:szCs w:val="18"/>
          <w:lang w:val="en-US"/>
        </w:rPr>
      </w:pPr>
      <w:r>
        <w:rPr>
          <w:color w:val="444444"/>
          <w:sz w:val="18"/>
          <w:szCs w:val="18"/>
          <w:lang w:val="en-US"/>
        </w:rPr>
        <w:t xml:space="preserve">6. Hamad N, Armand P, Goy A, et al. Time to progression of disease and outcomes with second-line BTK inhibitors in relapsed/refractory mantle cell lymphoma. Blood Adv. 2023;7(16):4576–4586. </w:t>
      </w:r>
    </w:p>
    <w:p w14:paraId="00000020" w14:textId="5FB0A768" w:rsidR="00205D31" w:rsidRPr="001C55B5" w:rsidRDefault="000E2009" w:rsidP="00D3731D">
      <w:pPr>
        <w:spacing w:before="60" w:after="60" w:line="260" w:lineRule="auto"/>
        <w:ind w:left="360" w:hanging="360"/>
        <w:jc w:val="both"/>
        <w:rPr>
          <w:color w:val="444444"/>
          <w:sz w:val="18"/>
          <w:szCs w:val="18"/>
          <w:lang w:val="en-US"/>
        </w:rPr>
      </w:pPr>
      <w:r>
        <w:rPr>
          <w:color w:val="444444"/>
          <w:sz w:val="18"/>
          <w:szCs w:val="18"/>
          <w:lang w:val="en-US"/>
        </w:rPr>
        <w:t>7.-Campo E, et al. Molecular pathogenesis of mantle cell lymphoma. J Clin Invest. 2012;122(10):3416-3423.</w:t>
      </w:r>
    </w:p>
    <w:p w14:paraId="00000021" w14:textId="67CC0F07" w:rsidR="00205D31" w:rsidRPr="001C55B5" w:rsidRDefault="000E2009" w:rsidP="00D3731D">
      <w:pPr>
        <w:spacing w:before="60" w:after="60" w:line="260" w:lineRule="auto"/>
        <w:ind w:left="360" w:hanging="360"/>
        <w:jc w:val="both"/>
        <w:rPr>
          <w:color w:val="444444"/>
          <w:sz w:val="18"/>
          <w:szCs w:val="18"/>
          <w:lang w:val="en-US"/>
        </w:rPr>
      </w:pPr>
      <w:r>
        <w:rPr>
          <w:color w:val="444444"/>
          <w:sz w:val="18"/>
          <w:szCs w:val="18"/>
          <w:lang w:val="en-US"/>
        </w:rPr>
        <w:t>8.-Jares P, Colomer D, Campo E. Mantle cell lymphoma. Nat Rev Cancer. 2007; 7:750-762.</w:t>
      </w:r>
    </w:p>
    <w:p w14:paraId="00000022" w14:textId="294233E2" w:rsidR="00205D31" w:rsidRPr="001C55B5" w:rsidRDefault="000E2009" w:rsidP="00D3731D">
      <w:pPr>
        <w:spacing w:before="60" w:after="60" w:line="260" w:lineRule="auto"/>
        <w:ind w:left="360" w:hanging="360"/>
        <w:jc w:val="both"/>
        <w:rPr>
          <w:color w:val="444444"/>
          <w:sz w:val="18"/>
          <w:szCs w:val="18"/>
          <w:lang w:val="en-US"/>
        </w:rPr>
      </w:pPr>
      <w:r>
        <w:rPr>
          <w:color w:val="444444"/>
          <w:sz w:val="18"/>
          <w:szCs w:val="18"/>
          <w:lang w:val="en-US"/>
        </w:rPr>
        <w:t>9.-Martin P, et al. Treatment of mantle cell lymphoma: current approaches and future directions. Cancer. 2018;124(1):23-35.</w:t>
      </w:r>
    </w:p>
    <w:p w14:paraId="00000025" w14:textId="7B4C814D" w:rsidR="00205D31" w:rsidRPr="004F4119" w:rsidRDefault="000E2009" w:rsidP="00D3731D">
      <w:pPr>
        <w:spacing w:before="60" w:after="60" w:line="260" w:lineRule="auto"/>
        <w:ind w:left="360" w:hanging="360"/>
        <w:jc w:val="both"/>
        <w:rPr>
          <w:lang w:val="es-VE"/>
        </w:rPr>
      </w:pPr>
      <w:r>
        <w:rPr>
          <w:color w:val="444444"/>
          <w:sz w:val="18"/>
          <w:szCs w:val="18"/>
          <w:lang w:val="en-US"/>
        </w:rPr>
        <w:t xml:space="preserve">10-Fernández V, et al. TP53 mutations in mantle cell lymphoma: clinical and biological implications. Blood. 2010;115(1):53-60.11.-Hermann A, et al. Prognostic value of Ki-67 in mantle cell lymphoma. </w:t>
      </w:r>
      <w:r>
        <w:rPr>
          <w:color w:val="444444"/>
          <w:sz w:val="18"/>
          <w:szCs w:val="18"/>
          <w:lang w:val="es-VE"/>
        </w:rPr>
        <w:t>Leukemia &amp; Lymphoma. 2016.</w:t>
      </w:r>
    </w:p>
    <w:p w14:paraId="00000026" w14:textId="77777777" w:rsidR="00205D31" w:rsidRPr="000C6123" w:rsidRDefault="00000000" w:rsidP="00D3731D">
      <w:pPr>
        <w:pStyle w:val="Ttulo2"/>
        <w:keepNext w:val="0"/>
        <w:keepLines w:val="0"/>
        <w:spacing w:after="80"/>
        <w:jc w:val="both"/>
        <w:rPr>
          <w:b/>
          <w:sz w:val="24"/>
          <w:szCs w:val="24"/>
        </w:rPr>
      </w:pPr>
      <w:bookmarkStart w:id="8" w:name="_heading=h.5e72lpk7vzsx" w:colFirst="0" w:colLast="0"/>
      <w:bookmarkEnd w:id="8"/>
      <w:r>
        <w:rPr>
          <w:b/>
          <w:sz w:val="24"/>
          <w:szCs w:val="24"/>
        </w:rPr>
        <w:t>2. TRATAMIENTO DE PRIMERA LÍNEA EN PACIENTES JÓVENES Y APTOS</w:t>
      </w:r>
    </w:p>
    <w:p w14:paraId="7FF45EC6" w14:textId="53829FD1" w:rsidR="00A03770" w:rsidRPr="001C55B5" w:rsidRDefault="00000000" w:rsidP="00D3731D">
      <w:pPr>
        <w:spacing w:before="240" w:after="240"/>
        <w:jc w:val="both"/>
        <w:rPr>
          <w:b/>
        </w:rPr>
      </w:pPr>
      <w:r>
        <w:rPr>
          <w:b/>
        </w:rPr>
        <w:t>Dra. Patricia Kollar (Uruguay), Dr. German Stemmelin (Argentina), Dr. Juan Esteban García (Colombia), Dr. Eleazar Hernández Ruiz</w:t>
      </w:r>
    </w:p>
    <w:p w14:paraId="72462B66" w14:textId="20A09E6F" w:rsidR="00A03770" w:rsidRPr="000C6123" w:rsidRDefault="00000000" w:rsidP="00D3731D">
      <w:pPr>
        <w:pStyle w:val="Ttulo3"/>
        <w:keepNext w:val="0"/>
        <w:keepLines w:val="0"/>
        <w:spacing w:before="280"/>
        <w:jc w:val="both"/>
        <w:rPr>
          <w:sz w:val="24"/>
          <w:szCs w:val="24"/>
          <w:lang w:val="es-VE" w:eastAsia="es-MX"/>
        </w:rPr>
      </w:pPr>
      <w:bookmarkStart w:id="9" w:name="_heading=h.tft9jil2f3ah" w:colFirst="0" w:colLast="0"/>
      <w:bookmarkEnd w:id="9"/>
      <w:r>
        <w:rPr>
          <w:b/>
          <w:color w:val="000000"/>
          <w:sz w:val="24"/>
          <w:szCs w:val="24"/>
        </w:rPr>
        <w:t>2.1 ¿Cuál es el régimen de inducción estándar en pacientes jóvenes aptos elegibles para trasplante, y es obligatoria la citarabina en altas dosis?</w:t>
      </w:r>
    </w:p>
    <w:p w14:paraId="212CF006" w14:textId="3113A38F" w:rsidR="00A03770" w:rsidRPr="00172E82" w:rsidRDefault="00A03770" w:rsidP="008977FB">
      <w:pPr>
        <w:jc w:val="both"/>
        <w:rPr>
          <w:i/>
          <w:iCs/>
        </w:rPr>
      </w:pPr>
      <w:r>
        <w:rPr>
          <w:i/>
          <w:iCs/>
        </w:rPr>
        <w:t xml:space="preserve">LA QUIMIOTERAPIA MÁS RITUXIMAB PERMANECE COMO LA ESTRATEGIA CLAVE DE INDUCCIÓN EN PACIENTES JÓVENES APTOS CON LCM. LA CITARABINA EN ALTAS DOSIS (≥2 g/m² POR CICLO) DEBE INCLUIRSE EN EL RÉGIMEN DE INDUCCIÓN, INDEPENDIENTEMENTE DEL ESQUEMA ESPECÍFICO UTILIZADO, ESPECIALMENTE EN PACIENTES CON MIPI BAJO-INTERMEDIO. LA ADICIÓN DE IBRUTINIB PERMITE ESTRATEGIAS SIN TRASPLANTE EN RESPONDEDORES PET-NEGATIVOS. LA EVALUACIÓN DE ENFERMEDAD MÍNIMA RESIDUAL (EMR) POSTINDUCCIÓN PUEDE </w:t>
      </w:r>
      <w:r>
        <w:rPr>
          <w:i/>
          <w:iCs/>
        </w:rPr>
        <w:lastRenderedPageBreak/>
        <w:t>TAMBIÉN ORIENTAR LA OMISIÓN DEL TRASPLANTE, ÚNICAMENTE CUANDO SE REALIZA MEDIANTE PLATAFORMAS NGS DE ALTA SENSIBILIDAD (10</w:t>
      </w:r>
      <w:r>
        <w:rPr>
          <w:rFonts w:ascii="Cambria Math" w:hAnsi="Cambria Math" w:cs="Cambria Math"/>
          <w:i/>
          <w:iCs/>
        </w:rPr>
        <w:t>⁻</w:t>
      </w:r>
      <w:r>
        <w:rPr>
          <w:i/>
          <w:iCs/>
        </w:rPr>
        <w:t>⁶); LA NEGATIVIDAD POR PCR O CITOMETRÍA DE FLUJO NO ES EQUIVALENTE Y NO SUSTENTA ESTA DECISIÓN EN AUSENCIA DE IBRUTINIB EN LA INDUCCION Y SU SOTENIMIENTO DURANTE EL MANTENIMINETO</w:t>
      </w:r>
    </w:p>
    <w:p w14:paraId="40BA5BDF" w14:textId="1A711E1A" w:rsidR="00A03770" w:rsidRPr="00172E82" w:rsidRDefault="00A03770" w:rsidP="00D3731D">
      <w:pPr>
        <w:spacing w:before="100" w:beforeAutospacing="1" w:after="100" w:afterAutospacing="1" w:line="240" w:lineRule="auto"/>
        <w:jc w:val="both"/>
        <w:rPr>
          <w:rFonts w:eastAsia="Times New Roman"/>
          <w:sz w:val="20"/>
          <w:szCs w:val="20"/>
          <w:lang w:val="es-VE" w:eastAsia="es-MX"/>
        </w:rPr>
      </w:pPr>
      <w:r>
        <w:rPr>
          <w:rFonts w:eastAsia="Times New Roman"/>
          <w:b/>
          <w:bCs/>
          <w:lang w:val="es-VE" w:eastAsia="es-MX"/>
        </w:rPr>
        <w:t>Justificación:</w:t>
      </w:r>
      <w:r>
        <w:rPr>
          <w:rFonts w:eastAsia="Times New Roman"/>
          <w:lang w:val="es-VE" w:eastAsia="es-MX"/>
        </w:rPr>
        <w:t xml:space="preserve"> </w:t>
      </w:r>
      <w:r>
        <w:rPr>
          <w:rFonts w:eastAsia="Times New Roman"/>
          <w:sz w:val="20"/>
          <w:szCs w:val="20"/>
          <w:lang w:val="es-VE" w:eastAsia="es-MX"/>
        </w:rPr>
        <w:t xml:space="preserve">La citarabina en altas dosis (HD-AraC ≥2 g/m²) es el agente con mayor impacto demostrado en la profundidad de respuesta en LCM. El ensayo Nordic MCL2, con seguimiento de 11 años, estableció que la inducción alternante con R-maxi-CHOP/HD-AraC seguida de auto-TPH logra una mediana de SLP superior a 12 años en MIPI bajo.¹ El ensayo fase 3 de la Red Europea de LCM (Hermine et al., </w:t>
      </w:r>
      <w:r>
        <w:rPr>
          <w:rFonts w:eastAsia="Times New Roman"/>
          <w:i/>
          <w:iCs/>
          <w:sz w:val="20"/>
          <w:szCs w:val="20"/>
          <w:lang w:val="es-VE" w:eastAsia="es-MX"/>
        </w:rPr>
        <w:t>Lancet</w:t>
      </w:r>
      <w:r>
        <w:rPr>
          <w:rFonts w:eastAsia="Times New Roman"/>
          <w:sz w:val="20"/>
          <w:szCs w:val="20"/>
          <w:lang w:val="es-VE" w:eastAsia="es-MX"/>
        </w:rPr>
        <w:t xml:space="preserve"> 2016) confirmó la superioridad de R-CHOP/R-DHAP sobre R-CHOP solo seguido de auto-TPH, con TTF a 5 años de 65% vs. 40% (p&lt;0.0001), beneficio consistente en todos los subgrupos MIPI.² Ambos esquemas forman la base del estudio TRIANGLE (Dreyling et al., </w:t>
      </w:r>
      <w:r>
        <w:rPr>
          <w:rFonts w:eastAsia="Times New Roman"/>
          <w:i/>
          <w:iCs/>
          <w:sz w:val="20"/>
          <w:szCs w:val="20"/>
          <w:lang w:val="es-VE" w:eastAsia="es-MX"/>
        </w:rPr>
        <w:t>Lancet</w:t>
      </w:r>
      <w:r>
        <w:rPr>
          <w:rFonts w:eastAsia="Times New Roman"/>
          <w:sz w:val="20"/>
          <w:szCs w:val="20"/>
          <w:lang w:val="es-VE" w:eastAsia="es-MX"/>
        </w:rPr>
        <w:t xml:space="preserve"> 2024), que validó HD-AraC como plataforma de inducción tanto en el brazo con trasplante como en el brazo ibrutinib sin trasplante.³ Las guías ESMO 2024 recomiendan esta estrategia con nivel de evidencia IA.⁴</w:t>
      </w:r>
    </w:p>
    <w:p w14:paraId="5B6B0FE3" w14:textId="6E7E896C" w:rsidR="00A03770" w:rsidRPr="00172E82" w:rsidRDefault="00A03770" w:rsidP="00D3731D">
      <w:pPr>
        <w:spacing w:before="100" w:beforeAutospacing="1" w:after="100" w:afterAutospacing="1" w:line="240" w:lineRule="auto"/>
        <w:jc w:val="both"/>
        <w:rPr>
          <w:rFonts w:eastAsia="Times New Roman"/>
          <w:sz w:val="20"/>
          <w:szCs w:val="20"/>
          <w:lang w:val="es-VE" w:eastAsia="es-MX"/>
        </w:rPr>
      </w:pPr>
      <w:r>
        <w:rPr>
          <w:rFonts w:eastAsia="Times New Roman"/>
          <w:sz w:val="20"/>
          <w:szCs w:val="20"/>
          <w:lang w:val="es-VE" w:eastAsia="es-MX"/>
        </w:rPr>
        <w:t>Respecto a la omisión del trasplante guiada por EMR: el ensayo EA4151 (ASH 2024) demostró que pacientes con EMR indetectable postinducción no se benefician del auto-TPH, con SG a 3 años de 82.1% vs. 82.7% (HR 1.11; p=0.66), resultado consistente en todos los grupos MIPI-c.⁵ Sin embargo, esta evaluación se realizó exclusivamente con clonoSEQ®, plataforma NGS de secuenciación de inmunoglobulinas con sensibilidad de 10</w:t>
      </w:r>
      <w:r>
        <w:rPr>
          <w:rFonts w:ascii="Cambria Math" w:eastAsia="Times New Roman" w:hAnsi="Cambria Math" w:cs="Cambria Math"/>
          <w:sz w:val="20"/>
          <w:szCs w:val="20"/>
          <w:lang w:val="es-VE" w:eastAsia="es-MX"/>
        </w:rPr>
        <w:t>⁻</w:t>
      </w:r>
      <w:r>
        <w:rPr>
          <w:rFonts w:eastAsia="Times New Roman"/>
          <w:sz w:val="20"/>
          <w:szCs w:val="20"/>
          <w:lang w:val="es-VE" w:eastAsia="es-MX"/>
        </w:rPr>
        <w:t>⁶, no disponible como estándar en Latinoamérica</w:t>
      </w:r>
      <w:r>
        <w:rPr>
          <w:rFonts w:eastAsia="Times New Roman"/>
          <w:b/>
          <w:bCs/>
          <w:sz w:val="20"/>
          <w:szCs w:val="20"/>
          <w:lang w:val="es-VE" w:eastAsia="es-MX"/>
        </w:rPr>
        <w:t>.</w:t>
      </w:r>
      <w:r>
        <w:rPr>
          <w:rFonts w:eastAsia="Times New Roman"/>
          <w:sz w:val="20"/>
          <w:szCs w:val="20"/>
          <w:lang w:val="es-VE" w:eastAsia="es-MX"/>
        </w:rPr>
        <w:t xml:space="preserve"> La citometría de flujo multiparamétrica alcanza sensibilidad de 10</w:t>
      </w:r>
      <w:r>
        <w:rPr>
          <w:rFonts w:ascii="Cambria Math" w:eastAsia="Times New Roman" w:hAnsi="Cambria Math" w:cs="Cambria Math"/>
          <w:sz w:val="20"/>
          <w:szCs w:val="20"/>
          <w:lang w:val="es-VE" w:eastAsia="es-MX"/>
        </w:rPr>
        <w:t>⁻</w:t>
      </w:r>
      <w:r>
        <w:rPr>
          <w:rFonts w:eastAsia="Times New Roman"/>
          <w:sz w:val="20"/>
          <w:szCs w:val="20"/>
          <w:lang w:val="es-VE" w:eastAsia="es-MX"/>
        </w:rPr>
        <w:t>⁴–10</w:t>
      </w:r>
      <w:r>
        <w:rPr>
          <w:rFonts w:ascii="Cambria Math" w:eastAsia="Times New Roman" w:hAnsi="Cambria Math" w:cs="Cambria Math"/>
          <w:sz w:val="20"/>
          <w:szCs w:val="20"/>
          <w:lang w:val="es-VE" w:eastAsia="es-MX"/>
        </w:rPr>
        <w:t>⁻</w:t>
      </w:r>
      <w:r>
        <w:rPr>
          <w:rFonts w:eastAsia="Times New Roman"/>
          <w:sz w:val="20"/>
          <w:szCs w:val="20"/>
          <w:lang w:val="es-VE" w:eastAsia="es-MX"/>
        </w:rPr>
        <w:t>⁵ y la qPCR convencional de 10</w:t>
      </w:r>
      <w:r>
        <w:rPr>
          <w:rFonts w:ascii="Cambria Math" w:eastAsia="Times New Roman" w:hAnsi="Cambria Math" w:cs="Cambria Math"/>
          <w:sz w:val="20"/>
          <w:szCs w:val="20"/>
          <w:lang w:val="es-VE" w:eastAsia="es-MX"/>
        </w:rPr>
        <w:t>⁻</w:t>
      </w:r>
      <w:r>
        <w:rPr>
          <w:rFonts w:eastAsia="Times New Roman"/>
          <w:sz w:val="20"/>
          <w:szCs w:val="20"/>
          <w:lang w:val="es-VE" w:eastAsia="es-MX"/>
        </w:rPr>
        <w:t>⁵; ninguna de estas plataformas fue empleada en EA4151 ni ha sido validada prospectivamente para guiar la omisión del trasplante.⁶ En consecuencia, en centros sin acceso a ibrutinib ni a EMR-NGS 10</w:t>
      </w:r>
      <w:r>
        <w:rPr>
          <w:rFonts w:ascii="Cambria Math" w:eastAsia="Times New Roman" w:hAnsi="Cambria Math" w:cs="Cambria Math"/>
          <w:sz w:val="20"/>
          <w:szCs w:val="20"/>
          <w:lang w:val="es-VE" w:eastAsia="es-MX"/>
        </w:rPr>
        <w:t>⁻</w:t>
      </w:r>
      <w:r>
        <w:rPr>
          <w:rFonts w:eastAsia="Times New Roman"/>
          <w:sz w:val="20"/>
          <w:szCs w:val="20"/>
          <w:lang w:val="es-VE" w:eastAsia="es-MX"/>
        </w:rPr>
        <w:t>⁶, escenario predominante en Latinoamérica, la omisión del auto-TPH basada en negatividad por PCR o citometría de flujo no está respaldada por evidencia y representa riesgo de subtratamiento.⁵,⁶</w:t>
      </w:r>
    </w:p>
    <w:p w14:paraId="2504EA56" w14:textId="0B8B6970" w:rsidR="00A03770" w:rsidRPr="00A03770" w:rsidRDefault="00A03770" w:rsidP="00D3731D">
      <w:pPr>
        <w:spacing w:before="240" w:after="240"/>
        <w:jc w:val="both"/>
        <w:rPr>
          <w:rFonts w:ascii="Times New Roman" w:eastAsia="Times New Roman" w:hAnsi="Times New Roman" w:cs="Times New Roman"/>
          <w:sz w:val="24"/>
          <w:szCs w:val="24"/>
          <w:lang w:val="es-VE" w:eastAsia="es-MX"/>
        </w:rPr>
      </w:pPr>
      <w:r>
        <w:rPr>
          <w:b/>
        </w:rPr>
        <w:t>Declaración (1A).</w:t>
      </w:r>
      <w:sdt>
        <w:sdtPr>
          <w:rPr>
            <w:bCs/>
            <w:sz w:val="20"/>
            <w:szCs w:val="20"/>
          </w:rPr>
          <w:tag w:val="goog_rdk_4"/>
          <w:id w:val="-319268520"/>
        </w:sdtPr>
        <w:sdtEndPr>
          <w:rPr>
            <w:sz w:val="22"/>
            <w:szCs w:val="22"/>
          </w:rPr>
        </w:sdtEndPr>
        <w:sdtContent>
          <w:r>
            <w:rPr>
              <w:bCs/>
              <w:sz w:val="20"/>
              <w:szCs w:val="20"/>
            </w:rPr>
            <w:t xml:space="preserve"> Recomendar regímenes de inducción que contengan citarabina en altas dosis (≥2 g/m² por ciclo) en pacientes jóvenes o aptos con LCM que sean candidatos a trasplante, ya que mejora la profundidad de respuesta y los resultados de supervivencia.</w:t>
          </w:r>
        </w:sdtContent>
      </w:sdt>
    </w:p>
    <w:p w14:paraId="10BD5E23" w14:textId="77777777" w:rsidR="00D73E4E" w:rsidRDefault="00D73E4E" w:rsidP="00D3731D">
      <w:pPr>
        <w:spacing w:before="60" w:after="60" w:line="260" w:lineRule="auto"/>
        <w:ind w:left="360" w:hanging="360"/>
        <w:jc w:val="both"/>
        <w:rPr>
          <w:b/>
          <w:bCs/>
          <w:color w:val="444444"/>
          <w:sz w:val="18"/>
          <w:szCs w:val="18"/>
          <w:lang w:val="es-VE"/>
        </w:rPr>
      </w:pPr>
    </w:p>
    <w:p w14:paraId="6E9FD6CB" w14:textId="77777777" w:rsidR="00D73E4E" w:rsidRDefault="00D73E4E" w:rsidP="00D3731D">
      <w:pPr>
        <w:spacing w:before="60" w:after="60" w:line="260" w:lineRule="auto"/>
        <w:ind w:left="360" w:hanging="360"/>
        <w:jc w:val="both"/>
        <w:rPr>
          <w:b/>
          <w:bCs/>
          <w:color w:val="444444"/>
          <w:sz w:val="18"/>
          <w:szCs w:val="18"/>
          <w:lang w:val="es-VE"/>
        </w:rPr>
      </w:pPr>
    </w:p>
    <w:p w14:paraId="489EA681" w14:textId="3FC11DC5" w:rsidR="00A03770" w:rsidRPr="002E0830" w:rsidRDefault="00242F5D" w:rsidP="00D3731D">
      <w:pPr>
        <w:spacing w:before="60" w:after="60" w:line="260" w:lineRule="auto"/>
        <w:ind w:left="360" w:hanging="360"/>
        <w:jc w:val="both"/>
        <w:rPr>
          <w:b/>
          <w:bCs/>
          <w:color w:val="444444"/>
          <w:sz w:val="18"/>
          <w:szCs w:val="18"/>
          <w:lang w:val="es-VE"/>
        </w:rPr>
      </w:pPr>
      <w:r>
        <w:rPr>
          <w:b/>
          <w:bCs/>
          <w:color w:val="444444"/>
          <w:sz w:val="18"/>
          <w:szCs w:val="18"/>
          <w:lang w:val="es-VE"/>
        </w:rPr>
        <w:t xml:space="preserve">Bibliografia </w:t>
      </w:r>
    </w:p>
    <w:p w14:paraId="096684B9" w14:textId="49FE303E" w:rsidR="00A03770" w:rsidRPr="00242F5D" w:rsidRDefault="00242F5D" w:rsidP="00D3731D">
      <w:pPr>
        <w:spacing w:before="60" w:after="60" w:line="260" w:lineRule="auto"/>
        <w:ind w:left="360" w:hanging="360"/>
        <w:jc w:val="both"/>
        <w:rPr>
          <w:color w:val="444444"/>
          <w:sz w:val="18"/>
          <w:szCs w:val="18"/>
          <w:lang w:val="en-US"/>
        </w:rPr>
      </w:pPr>
      <w:r>
        <w:rPr>
          <w:color w:val="444444"/>
          <w:sz w:val="18"/>
          <w:szCs w:val="18"/>
          <w:lang w:val="es-VE"/>
        </w:rPr>
        <w:t xml:space="preserve">1.-Geisler CH et al. </w:t>
      </w:r>
      <w:r>
        <w:rPr>
          <w:color w:val="444444"/>
          <w:sz w:val="18"/>
          <w:szCs w:val="18"/>
          <w:lang w:val="en-US"/>
        </w:rPr>
        <w:t>Br J Haematol. 2012;158(3):355–362. (Nordic MCL2, 6-year update)</w:t>
      </w:r>
    </w:p>
    <w:p w14:paraId="3CFE693A" w14:textId="6ED51FA0" w:rsidR="00A03770" w:rsidRPr="00242F5D" w:rsidRDefault="00242F5D" w:rsidP="00D3731D">
      <w:pPr>
        <w:spacing w:before="60" w:after="60" w:line="260" w:lineRule="auto"/>
        <w:ind w:left="360" w:hanging="360"/>
        <w:jc w:val="both"/>
        <w:rPr>
          <w:color w:val="444444"/>
          <w:sz w:val="18"/>
          <w:szCs w:val="18"/>
          <w:lang w:val="en-US"/>
        </w:rPr>
      </w:pPr>
      <w:r>
        <w:rPr>
          <w:color w:val="444444"/>
          <w:sz w:val="18"/>
          <w:szCs w:val="18"/>
          <w:lang w:val="es-VE"/>
        </w:rPr>
        <w:t xml:space="preserve">2,.Hermine O et al. Lancet. </w:t>
      </w:r>
      <w:r>
        <w:rPr>
          <w:color w:val="444444"/>
          <w:sz w:val="18"/>
          <w:szCs w:val="18"/>
          <w:lang w:val="en-US"/>
        </w:rPr>
        <w:t>2016;388(10044):565–575. (European MCL Network fase 3)</w:t>
      </w:r>
    </w:p>
    <w:p w14:paraId="07179C82" w14:textId="7BFCE298" w:rsidR="00A03770" w:rsidRPr="00242F5D" w:rsidRDefault="00242F5D" w:rsidP="00D3731D">
      <w:pPr>
        <w:spacing w:before="60" w:after="60" w:line="260" w:lineRule="auto"/>
        <w:ind w:left="360" w:hanging="360"/>
        <w:jc w:val="both"/>
        <w:rPr>
          <w:color w:val="444444"/>
          <w:sz w:val="18"/>
          <w:szCs w:val="18"/>
          <w:lang w:val="en-US"/>
        </w:rPr>
      </w:pPr>
      <w:r>
        <w:rPr>
          <w:color w:val="444444"/>
          <w:sz w:val="18"/>
          <w:szCs w:val="18"/>
          <w:lang w:val="en-US"/>
        </w:rPr>
        <w:t>3.-Dreyling M et al. Lancet. 2024;403(10441):2293–2306. (TRIANGLE)</w:t>
      </w:r>
    </w:p>
    <w:p w14:paraId="2FDBD0D0" w14:textId="7F0A5472" w:rsidR="00A03770" w:rsidRPr="00242F5D" w:rsidRDefault="00242F5D" w:rsidP="00D3731D">
      <w:pPr>
        <w:spacing w:before="60" w:after="60" w:line="260" w:lineRule="auto"/>
        <w:ind w:left="360" w:hanging="360"/>
        <w:jc w:val="both"/>
        <w:rPr>
          <w:color w:val="444444"/>
          <w:sz w:val="18"/>
          <w:szCs w:val="18"/>
          <w:lang w:val="en-US"/>
        </w:rPr>
      </w:pPr>
      <w:r>
        <w:rPr>
          <w:color w:val="444444"/>
          <w:sz w:val="18"/>
          <w:szCs w:val="18"/>
          <w:lang w:val="en-US"/>
        </w:rPr>
        <w:t>4.-Dreyling M et al. Ann Oncol. 2024 (ESMO Clinical Practice Guidelines MCL 2024)</w:t>
      </w:r>
    </w:p>
    <w:p w14:paraId="1EE68E23" w14:textId="4E5DDE99" w:rsidR="00A03770" w:rsidRPr="00242F5D" w:rsidRDefault="00242F5D" w:rsidP="00D3731D">
      <w:pPr>
        <w:spacing w:before="60" w:after="60" w:line="260" w:lineRule="auto"/>
        <w:ind w:left="360" w:hanging="360"/>
        <w:jc w:val="both"/>
        <w:rPr>
          <w:color w:val="444444"/>
          <w:sz w:val="18"/>
          <w:szCs w:val="18"/>
          <w:lang w:val="en-US"/>
        </w:rPr>
      </w:pPr>
      <w:r>
        <w:rPr>
          <w:color w:val="444444"/>
          <w:sz w:val="18"/>
          <w:szCs w:val="18"/>
          <w:lang w:val="en-US"/>
        </w:rPr>
        <w:t>5.-Fenske TS et al. Blood. 2024;144(Suppl 2): LBA-6. (ECOG-ACRIN EA4151, ASH 2024)</w:t>
      </w:r>
    </w:p>
    <w:p w14:paraId="04541B3E" w14:textId="616D7343" w:rsidR="00A03770" w:rsidRPr="00833E37" w:rsidRDefault="00242F5D" w:rsidP="00D3731D">
      <w:pPr>
        <w:spacing w:before="60" w:after="60" w:line="260" w:lineRule="auto"/>
        <w:ind w:left="360" w:hanging="360"/>
        <w:jc w:val="both"/>
        <w:rPr>
          <w:color w:val="444444"/>
          <w:sz w:val="18"/>
          <w:szCs w:val="18"/>
          <w:lang w:val="es-VE"/>
        </w:rPr>
      </w:pPr>
      <w:r>
        <w:rPr>
          <w:color w:val="444444"/>
          <w:sz w:val="18"/>
          <w:szCs w:val="18"/>
          <w:lang w:val="en-US"/>
        </w:rPr>
        <w:t xml:space="preserve">6.-Roschewski M et al. J Clin Oncol. </w:t>
      </w:r>
      <w:r>
        <w:rPr>
          <w:color w:val="444444"/>
          <w:sz w:val="18"/>
          <w:szCs w:val="18"/>
          <w:lang w:val="es-VE"/>
        </w:rPr>
        <w:t>2021;39(36):4129–4135. (Métodos EMR comparativos)</w:t>
      </w:r>
    </w:p>
    <w:p w14:paraId="0000002C" w14:textId="77777777" w:rsidR="00205D31" w:rsidRPr="000C6123" w:rsidRDefault="00000000" w:rsidP="00D3731D">
      <w:pPr>
        <w:pStyle w:val="Ttulo3"/>
        <w:keepNext w:val="0"/>
        <w:keepLines w:val="0"/>
        <w:spacing w:before="280"/>
        <w:jc w:val="both"/>
        <w:rPr>
          <w:b/>
          <w:color w:val="000000"/>
          <w:sz w:val="24"/>
          <w:szCs w:val="24"/>
        </w:rPr>
      </w:pPr>
      <w:bookmarkStart w:id="10" w:name="_heading=h.tcnuu4d5uzlu" w:colFirst="0" w:colLast="0"/>
      <w:bookmarkEnd w:id="10"/>
      <w:r>
        <w:rPr>
          <w:b/>
          <w:color w:val="000000"/>
          <w:sz w:val="24"/>
          <w:szCs w:val="24"/>
        </w:rPr>
        <w:t>2.2 ¿La estrategia TRIANGLE (citarabina en altas dosis ± ibrutinib) representa el nuevo estándar de tratamiento en pacientes jóvenes aptos?</w:t>
      </w:r>
    </w:p>
    <w:p w14:paraId="12672BC1" w14:textId="6B6DD1CA" w:rsidR="0051335F" w:rsidRPr="00172E82" w:rsidRDefault="0051335F" w:rsidP="00D3731D">
      <w:pPr>
        <w:jc w:val="both"/>
        <w:rPr>
          <w:i/>
          <w:iCs/>
        </w:rPr>
      </w:pPr>
      <w:r>
        <w:rPr>
          <w:i/>
          <w:iCs/>
        </w:rPr>
        <w:t xml:space="preserve">SÍ. LA INCORPORACIÓN DE CITARABINA EN ALTAS DOSIS MÁS IBRUTINIB EN INDUCCIÓN, SEGUIDA DE MANTENIMIENTO CON IBRUTINIB, CONSTITUYE UNA ESTRATEGIA VÁLIDA EN PACIENTES JÓVENES FIT Y PERMITE LA OMISIÓN DE AUTO-TPH EN LA MAYORÍA DE QUIENES ALCANZAN RESPUESTA METABÓLICA COMPLETA, SEGÚN LOS RESULTADOS DEL ESTUDIO FASE III TRIANGLE. SIN EMBARGO, EN CONTEXTOS SIN ACCESO A IBRUTINIB, SITUACIÓN FRECUENTE EN LATINOAMÉRICA, EL ESTÁNDAR CONTINÚA SIENDO INMUNOQUIMIOTERAPIA INTENSIVA BASADA EN ALTAS DOSIS DE CITARABINA SEGUIDA DE CONSOLIDACIÓN </w:t>
      </w:r>
      <w:r>
        <w:rPr>
          <w:i/>
          <w:iCs/>
        </w:rPr>
        <w:lastRenderedPageBreak/>
        <w:t xml:space="preserve">CON AUTO-TPH EN PRIMERA REMISIÓN, YA QUE LA OMISIÓN DEL TRASPLANTE SIN TERAPIA DIRIGIDA CONCOMITANTE NO HA SIDO VALIDADA PROSPECTIVAMENTE Y, POR TANTO, EL AUTO-TPH MANTIENE SU ROL COMO ESTRATEGIA CONSOLIDATIVA ESTÁNDAR EN ESTE ESCENARIO. </w:t>
      </w:r>
    </w:p>
    <w:p w14:paraId="039AE4B5" w14:textId="77777777" w:rsidR="0051335F" w:rsidRDefault="0051335F" w:rsidP="00D3731D">
      <w:pPr>
        <w:jc w:val="both"/>
      </w:pPr>
    </w:p>
    <w:p w14:paraId="2C5995AB" w14:textId="74F08A6D" w:rsidR="007057E9" w:rsidRPr="00172E82" w:rsidRDefault="00272D1B" w:rsidP="00D3731D">
      <w:pPr>
        <w:jc w:val="both"/>
        <w:rPr>
          <w:sz w:val="20"/>
          <w:szCs w:val="20"/>
        </w:rPr>
      </w:pPr>
      <w:r>
        <w:rPr>
          <w:b/>
          <w:bCs/>
        </w:rPr>
        <w:t>Justificación:</w:t>
      </w:r>
      <w:r>
        <w:t xml:space="preserve"> </w:t>
      </w:r>
      <w:r>
        <w:rPr>
          <w:sz w:val="20"/>
          <w:szCs w:val="20"/>
        </w:rPr>
        <w:t>El ensayo TRIANGLE (Dreyling et al., Lancet 2024) demostró no inferioridad del brazo ibrutinib sin auto-TPH (Brazo C) versus R-CHOP/R-DHAP más auto-TPH (Brazo A) en 946 pacientes menores de 66 años, con SLP a 3 años de 88% vs. 83% (HR 0.73; p&lt;0.001), RC de 86% vs. 77% y PET-negatividad de 92% vs. 85%, permitiendo omisión del trasplante en respondedores profundos.¹ Complementariamente, el ensayo EA4151 (ASH 2024) demostró en 650 pacientes que el auto-TPH no añade beneficio en SG cuando se alcanza EMR indetectable por NGS de alta sensibilidad (clonoSEQ, 10</w:t>
      </w:r>
      <w:r>
        <w:rPr>
          <w:rFonts w:ascii="Cambria Math" w:hAnsi="Cambria Math" w:cs="Cambria Math"/>
          <w:sz w:val="20"/>
          <w:szCs w:val="20"/>
        </w:rPr>
        <w:t>⁻</w:t>
      </w:r>
      <w:r>
        <w:rPr>
          <w:sz w:val="20"/>
          <w:szCs w:val="20"/>
        </w:rPr>
        <w:t>⁶).² Sin embargo, la omisión del trasplante en EA4151 estuvo condicionada exclusivamente a EMR indetectable por esta plataforma NGS, no disponible en Latinoamérica. En centros sin acceso a ibrutinib ni a EMR-NGS a 10</w:t>
      </w:r>
      <w:r>
        <w:rPr>
          <w:rFonts w:ascii="Cambria Math" w:hAnsi="Cambria Math" w:cs="Cambria Math"/>
          <w:sz w:val="20"/>
          <w:szCs w:val="20"/>
        </w:rPr>
        <w:t>⁻</w:t>
      </w:r>
      <w:r>
        <w:rPr>
          <w:sz w:val="20"/>
          <w:szCs w:val="20"/>
        </w:rPr>
        <w:t>⁶, el estándar R-CHOP/R-DHAP más auto-TPH seguido de mantenimiento con rituximab conserva plena validez, con SLP a largo plazo superior a 12 años en MIPI bajo. ³,⁴</w:t>
      </w:r>
    </w:p>
    <w:p w14:paraId="51B1DAC7" w14:textId="77777777" w:rsidR="001C55B5" w:rsidRDefault="001C55B5" w:rsidP="00D3731D">
      <w:pPr>
        <w:jc w:val="both"/>
        <w:rPr>
          <w:b/>
          <w:bCs/>
        </w:rPr>
      </w:pPr>
    </w:p>
    <w:p w14:paraId="2915A375" w14:textId="76D3DCB4" w:rsidR="007057E9" w:rsidRDefault="007057E9" w:rsidP="00D3731D">
      <w:pPr>
        <w:jc w:val="both"/>
      </w:pPr>
      <w:r>
        <w:rPr>
          <w:b/>
          <w:bCs/>
        </w:rPr>
        <w:t xml:space="preserve">Declaración (1A): </w:t>
      </w:r>
      <w:r>
        <w:rPr>
          <w:sz w:val="20"/>
          <w:szCs w:val="20"/>
        </w:rPr>
        <w:t>En pacientes jóvenes aptos con LCM, cuando ibrutinib está disponible, se recomienda la estrategia TRIANGLE (R-CHOP/R-DHAP más ibrutinib sin auto-TPH seguido de mantenimiento con ibrutinib) como estándar, reservando el auto-TPH para alto riesgo o respuesta subóptima.¹ En ausencia de ibrutinib y de evaluación de EMR por NGS a sensibilidad 10</w:t>
      </w:r>
      <w:r>
        <w:rPr>
          <w:rFonts w:ascii="Cambria Math" w:hAnsi="Cambria Math" w:cs="Cambria Math"/>
          <w:sz w:val="20"/>
          <w:szCs w:val="20"/>
        </w:rPr>
        <w:t>⁻</w:t>
      </w:r>
      <w:r>
        <w:rPr>
          <w:sz w:val="20"/>
          <w:szCs w:val="20"/>
        </w:rPr>
        <w:t xml:space="preserve">⁶, escenario predominante en Latinoamérica,  la inducción con R-CHOP/R-DHAP seguida de auto-TPH y mantenimiento con rituximab permanece como estándar obligatorio en todos los grupos de riesgo, incluyendo MIPI bajo e intermedio. </w:t>
      </w:r>
    </w:p>
    <w:p w14:paraId="2A2B2C2D" w14:textId="77777777" w:rsidR="0094697E" w:rsidRDefault="00000000" w:rsidP="00D3731D">
      <w:pPr>
        <w:spacing w:before="240" w:after="240"/>
        <w:jc w:val="both"/>
      </w:pPr>
      <w:r>
        <w:rPr>
          <w:sz w:val="20"/>
          <w:szCs w:val="20"/>
        </w:rPr>
        <w:t>En pacientes con presentación indolente (variante no blastoide, Ki-67 &lt;30%, tumor ≤3 cm, asintomáticos) o en mayores de 65 años no candidatos a trasplante con acceso sostenido a un inhibidor de BTK, la combinación de rituximab más ibrutinib representa una alternativa válida (Nivel de evidencia: II-B).</w:t>
      </w:r>
      <w:r>
        <w:rPr>
          <w:sz w:val="16"/>
          <w:szCs w:val="16"/>
          <w:vertAlign w:val="superscript"/>
        </w:rPr>
        <w:t>8,9</w:t>
      </w:r>
      <w:r>
        <w:rPr>
          <w:sz w:val="20"/>
          <w:szCs w:val="20"/>
        </w:rPr>
        <w:t xml:space="preserve"> La selección final del tratamiento debe individualizarse incorporando biología tumoral, estado funcional, comorbilidades, acceso terapéutico y preferencia del paciente.</w:t>
      </w:r>
    </w:p>
    <w:p w14:paraId="01D1FA74" w14:textId="467F0DAA" w:rsidR="00242F5D" w:rsidRPr="003D04B7" w:rsidRDefault="00242F5D" w:rsidP="00D3731D">
      <w:pPr>
        <w:jc w:val="both"/>
      </w:pPr>
    </w:p>
    <w:p w14:paraId="3DEE1958" w14:textId="030F3C58" w:rsidR="00242F5D" w:rsidRPr="004F4119" w:rsidRDefault="00242F5D" w:rsidP="00D3731D">
      <w:pPr>
        <w:spacing w:before="60" w:after="60" w:line="260" w:lineRule="auto"/>
        <w:ind w:left="360" w:hanging="360"/>
        <w:jc w:val="both"/>
        <w:rPr>
          <w:b/>
          <w:bCs/>
          <w:color w:val="444444"/>
          <w:sz w:val="18"/>
          <w:szCs w:val="18"/>
          <w:lang w:val="en-US"/>
        </w:rPr>
      </w:pPr>
      <w:r>
        <w:rPr>
          <w:b/>
          <w:bCs/>
          <w:color w:val="444444"/>
          <w:sz w:val="18"/>
          <w:szCs w:val="18"/>
          <w:lang w:val="en-US"/>
        </w:rPr>
        <w:t xml:space="preserve">Bibliografia </w:t>
      </w:r>
    </w:p>
    <w:p w14:paraId="41153761" w14:textId="318CD8D2" w:rsidR="007057E9" w:rsidRPr="004F4119" w:rsidRDefault="007057E9" w:rsidP="00D3731D">
      <w:pPr>
        <w:spacing w:before="60" w:after="60" w:line="260" w:lineRule="auto"/>
        <w:ind w:left="360" w:hanging="360"/>
        <w:jc w:val="both"/>
        <w:rPr>
          <w:color w:val="444444"/>
          <w:sz w:val="18"/>
          <w:szCs w:val="18"/>
          <w:lang w:val="en-US"/>
        </w:rPr>
      </w:pPr>
      <w:r>
        <w:rPr>
          <w:color w:val="444444"/>
          <w:sz w:val="18"/>
          <w:szCs w:val="18"/>
          <w:lang w:val="en-US"/>
        </w:rPr>
        <w:t>1. Dreyling M, Doorduijn JK, Gine E, et al. Ibrutinib combined with immunochemotherapy with or without autologous stem-cell transplantation in previously untreated younger patients with mantle cell lymphoma (TRIANGLE): a randomized open-label phase 3 superiority trial. Lancet. 2024;403(10441):2293–2306.</w:t>
      </w:r>
    </w:p>
    <w:p w14:paraId="65FA4B6B" w14:textId="77777777" w:rsidR="007057E9" w:rsidRPr="004F4119" w:rsidRDefault="007057E9" w:rsidP="00D3731D">
      <w:pPr>
        <w:spacing w:before="60" w:after="60" w:line="260" w:lineRule="auto"/>
        <w:ind w:left="360" w:hanging="360"/>
        <w:jc w:val="both"/>
        <w:rPr>
          <w:color w:val="444444"/>
          <w:sz w:val="18"/>
          <w:szCs w:val="18"/>
          <w:lang w:val="en-US"/>
        </w:rPr>
      </w:pPr>
      <w:r>
        <w:rPr>
          <w:color w:val="444444"/>
          <w:sz w:val="18"/>
          <w:szCs w:val="18"/>
          <w:lang w:val="en-US"/>
        </w:rPr>
        <w:t>2. Fenske TS, Wang XV, Till BG, et al. Lack of benefit of autologous hematopoietic cell transplantation in mantle cell lymphoma patients in first complete remission with undetectable minimal residual disease: initial report from the ECOG-ACRIN EA4151 phase 3 randomized trial. Blood. 2024;144(Suppl 2):LBA-6. doi:10.1182/blood-2024-212973</w:t>
      </w:r>
    </w:p>
    <w:p w14:paraId="4E2C3724" w14:textId="77777777" w:rsidR="007057E9" w:rsidRPr="004F4119" w:rsidRDefault="007057E9" w:rsidP="00D3731D">
      <w:pPr>
        <w:spacing w:before="60" w:after="60" w:line="260" w:lineRule="auto"/>
        <w:ind w:left="360" w:hanging="360"/>
        <w:jc w:val="both"/>
        <w:rPr>
          <w:color w:val="444444"/>
          <w:sz w:val="18"/>
          <w:szCs w:val="18"/>
          <w:lang w:val="en-US"/>
        </w:rPr>
      </w:pPr>
      <w:r>
        <w:rPr>
          <w:color w:val="444444"/>
          <w:sz w:val="18"/>
          <w:szCs w:val="18"/>
          <w:lang w:val="en-US"/>
        </w:rPr>
        <w:t>3. Adaptive Biotechnologies. clonoSEQ®: MRD testing for mantle cell lymphoma [product information]. Seattle, WA: Adaptive Biotechnologies; 2024. Disponible en: www.clonoseq.com</w:t>
      </w:r>
    </w:p>
    <w:p w14:paraId="114C2FCE" w14:textId="77777777" w:rsidR="007057E9" w:rsidRPr="008977FB" w:rsidRDefault="007057E9" w:rsidP="00D3731D">
      <w:pPr>
        <w:spacing w:before="60" w:after="60" w:line="260" w:lineRule="auto"/>
        <w:ind w:left="360" w:hanging="360"/>
        <w:jc w:val="both"/>
        <w:rPr>
          <w:color w:val="444444"/>
          <w:sz w:val="18"/>
          <w:szCs w:val="18"/>
          <w:lang w:val="es-VE"/>
        </w:rPr>
      </w:pPr>
      <w:r>
        <w:rPr>
          <w:color w:val="444444"/>
          <w:sz w:val="18"/>
          <w:szCs w:val="18"/>
          <w:lang w:val="en-US"/>
        </w:rPr>
        <w:t xml:space="preserve">4. Roschewski M, Rossi D, Kurtz DM, Alizadeh AA, Wilson WH. Circulating tumor DNA in lymphoma: principles and future directions. </w:t>
      </w:r>
      <w:r>
        <w:rPr>
          <w:color w:val="444444"/>
          <w:sz w:val="18"/>
          <w:szCs w:val="18"/>
          <w:lang w:val="es-VE"/>
        </w:rPr>
        <w:t>J Clin Oncol. 2021;39(36):4129–4135. [Revisión de métodos de EMR y sus sensibilidades comparativas en linfomas B]</w:t>
      </w:r>
    </w:p>
    <w:p w14:paraId="32D2AF81" w14:textId="77777777" w:rsidR="007057E9" w:rsidRPr="008977FB" w:rsidRDefault="007057E9" w:rsidP="00D3731D">
      <w:pPr>
        <w:spacing w:before="60" w:after="60" w:line="260" w:lineRule="auto"/>
        <w:ind w:left="360" w:hanging="360"/>
        <w:jc w:val="both"/>
        <w:rPr>
          <w:color w:val="444444"/>
          <w:sz w:val="18"/>
          <w:szCs w:val="18"/>
          <w:lang w:val="es-VE"/>
        </w:rPr>
      </w:pPr>
      <w:r>
        <w:rPr>
          <w:color w:val="444444"/>
          <w:sz w:val="18"/>
          <w:szCs w:val="18"/>
          <w:lang w:val="en-US"/>
        </w:rPr>
        <w:t xml:space="preserve">5. Armand P, Oki Y, Neuberg D, et al. Detection of minimal residual disease by immunoglobulin high-throughput sequencing in mantle cell lymphoma. </w:t>
      </w:r>
      <w:r>
        <w:rPr>
          <w:color w:val="444444"/>
          <w:sz w:val="18"/>
          <w:szCs w:val="18"/>
          <w:lang w:val="es-VE"/>
        </w:rPr>
        <w:t>J Hematol Oncol. 2020;13(1):1–11. [Valida clonoSEQ en LCM y establece su superioridad sobre FC y qPCR convencional]</w:t>
      </w:r>
    </w:p>
    <w:p w14:paraId="57A3AE25" w14:textId="77777777" w:rsidR="007057E9" w:rsidRPr="004F4119" w:rsidRDefault="007057E9" w:rsidP="00D3731D">
      <w:pPr>
        <w:spacing w:before="60" w:after="60" w:line="260" w:lineRule="auto"/>
        <w:ind w:left="360" w:hanging="360"/>
        <w:jc w:val="both"/>
        <w:rPr>
          <w:color w:val="444444"/>
          <w:sz w:val="18"/>
          <w:szCs w:val="18"/>
          <w:lang w:val="en-US"/>
        </w:rPr>
      </w:pPr>
      <w:r>
        <w:rPr>
          <w:color w:val="444444"/>
          <w:sz w:val="18"/>
          <w:szCs w:val="18"/>
          <w:lang w:val="en-US"/>
        </w:rPr>
        <w:t>6. Geisler CH, Kolstad A, Laurell A, et al. Nordic MCL2 trial update: six-year follow-up after intensive immunochemotherapy for untreated mantle cell lymphoma followed by BEAM or BEAC + autologous stem-cell support: still very long survival but late relapses do occur. Br J Haematol. 2012;158(3):355–362.</w:t>
      </w:r>
    </w:p>
    <w:p w14:paraId="3D5CA9D1" w14:textId="77777777" w:rsidR="007057E9" w:rsidRPr="008977FB" w:rsidRDefault="007057E9" w:rsidP="00D3731D">
      <w:pPr>
        <w:spacing w:before="60" w:after="60" w:line="260" w:lineRule="auto"/>
        <w:ind w:left="360" w:hanging="360"/>
        <w:jc w:val="both"/>
        <w:rPr>
          <w:color w:val="444444"/>
          <w:sz w:val="18"/>
          <w:szCs w:val="18"/>
          <w:lang w:val="es-VE"/>
        </w:rPr>
      </w:pPr>
      <w:r>
        <w:rPr>
          <w:color w:val="444444"/>
          <w:sz w:val="18"/>
          <w:szCs w:val="18"/>
          <w:lang w:val="en-US"/>
        </w:rPr>
        <w:t xml:space="preserve">7. Le Gouill S, Thieblemont C, Oberic L, et al. Rituximab after autologous stem-cell transplantation in mantle-cell lymphoma (LYMA trial). </w:t>
      </w:r>
      <w:r>
        <w:rPr>
          <w:color w:val="444444"/>
          <w:sz w:val="18"/>
          <w:szCs w:val="18"/>
          <w:lang w:val="es-VE"/>
        </w:rPr>
        <w:t>N Engl J Med. 2017;377(13):1250–1260.</w:t>
      </w:r>
    </w:p>
    <w:p w14:paraId="2B2C2D2E" w14:textId="77777777" w:rsidR="0094697E" w:rsidRDefault="00000000" w:rsidP="00D3731D">
      <w:pPr>
        <w:spacing w:before="60" w:after="60" w:line="260" w:lineRule="auto"/>
        <w:ind w:left="360" w:hanging="360"/>
        <w:jc w:val="both"/>
        <w:rPr>
          <w:color w:val="444444"/>
          <w:sz w:val="18"/>
          <w:szCs w:val="18"/>
          <w:lang w:val="en-US"/>
        </w:rPr>
      </w:pPr>
      <w:r w:rsidRPr="00C77450">
        <w:rPr>
          <w:color w:val="444444"/>
          <w:sz w:val="18"/>
          <w:szCs w:val="18"/>
          <w:lang w:val="es-VE"/>
        </w:rPr>
        <w:lastRenderedPageBreak/>
        <w:t xml:space="preserve">8.- Giné E, de la Cruz F, Jiménez Ubieto A, López Jiménez J, Martín García-Sancho A, Terol MJ, et al. </w:t>
      </w:r>
      <w:r>
        <w:rPr>
          <w:color w:val="444444"/>
          <w:sz w:val="18"/>
          <w:szCs w:val="18"/>
          <w:lang w:val="en-US"/>
        </w:rPr>
        <w:t>Ibrutinib in combination with rituximab for indolent clinical forms of mantle cell lymphoma (IMCL-2015): a multicenter, open-label, single-arm, phase II trial. J Clin Oncol. 2022;40(11):1196–1205. doi:10.1200/JCO.21.02321</w:t>
      </w:r>
    </w:p>
    <w:p w14:paraId="2C2D2E2F" w14:textId="77777777" w:rsidR="0094697E" w:rsidRPr="00C77450" w:rsidRDefault="00000000" w:rsidP="00D3731D">
      <w:pPr>
        <w:spacing w:before="60" w:after="60" w:line="260" w:lineRule="auto"/>
        <w:ind w:left="360" w:hanging="360"/>
        <w:jc w:val="both"/>
        <w:rPr>
          <w:color w:val="444444"/>
          <w:sz w:val="18"/>
          <w:szCs w:val="18"/>
          <w:lang w:val="es-VE"/>
        </w:rPr>
      </w:pPr>
      <w:r>
        <w:rPr>
          <w:color w:val="444444"/>
          <w:sz w:val="18"/>
          <w:szCs w:val="18"/>
          <w:lang w:val="en-US"/>
        </w:rPr>
        <w:t xml:space="preserve">9.- Jain P, Zhao S, Lee HJ, Hill HA, Ok CY, Kanagal-Shamanna R, et al. Ibrutinib with rituximab in first-line treatment of older patients with mantle cell lymphoma. </w:t>
      </w:r>
      <w:r w:rsidRPr="00C77450">
        <w:rPr>
          <w:color w:val="444444"/>
          <w:sz w:val="18"/>
          <w:szCs w:val="18"/>
          <w:lang w:val="es-VE"/>
        </w:rPr>
        <w:t>J Clin Oncol. 2022;40(2):202–212. doi:10.1200/JCO.21.01797</w:t>
      </w:r>
    </w:p>
    <w:p w14:paraId="3642DF32" w14:textId="3E8777AF" w:rsidR="007057E9" w:rsidRPr="008977FB" w:rsidRDefault="007057E9" w:rsidP="00D3731D">
      <w:pPr>
        <w:spacing w:before="60" w:after="60" w:line="260" w:lineRule="auto"/>
        <w:ind w:left="360" w:hanging="360"/>
        <w:jc w:val="both"/>
        <w:rPr>
          <w:color w:val="444444"/>
          <w:sz w:val="18"/>
          <w:szCs w:val="18"/>
          <w:lang w:val="es-VE"/>
        </w:rPr>
      </w:pPr>
      <w:r>
        <w:rPr>
          <w:color w:val="444444"/>
          <w:sz w:val="18"/>
          <w:szCs w:val="18"/>
          <w:lang w:val="es-VE"/>
        </w:rPr>
        <w:t>* Opinión de consenso de expertos — Grupo de Trabajo GELL Latinoamérica, 2024. No existen datos prospectivos sobre disponibilidad regional de ibrutinib en primera línea ni de clonoSEQ en LATAM.</w:t>
      </w:r>
    </w:p>
    <w:p w14:paraId="7BEC619F" w14:textId="19F78837" w:rsidR="00C63947" w:rsidRPr="000C6123" w:rsidRDefault="00000000" w:rsidP="00D3731D">
      <w:pPr>
        <w:pStyle w:val="Ttulo3"/>
        <w:keepNext w:val="0"/>
        <w:keepLines w:val="0"/>
        <w:spacing w:before="280"/>
        <w:jc w:val="both"/>
        <w:rPr>
          <w:sz w:val="24"/>
          <w:szCs w:val="24"/>
        </w:rPr>
      </w:pPr>
      <w:bookmarkStart w:id="11" w:name="_heading=h.oa1r3elaynbu" w:colFirst="0" w:colLast="0"/>
      <w:bookmarkEnd w:id="11"/>
      <w:r>
        <w:rPr>
          <w:b/>
          <w:color w:val="000000"/>
          <w:sz w:val="24"/>
          <w:szCs w:val="24"/>
        </w:rPr>
        <w:t>2.3 ¿Debe individualizarse la inducción según factores de riesgo biológicos (TP53, MIPI, Ki-67)?</w:t>
      </w:r>
    </w:p>
    <w:p w14:paraId="64166EC0" w14:textId="7F12CECF" w:rsidR="00C63947" w:rsidRPr="00172E82" w:rsidRDefault="00C63947" w:rsidP="00D3731D">
      <w:pPr>
        <w:spacing w:after="300"/>
        <w:jc w:val="both"/>
        <w:rPr>
          <w:i/>
          <w:iCs/>
        </w:rPr>
      </w:pPr>
      <w:r>
        <w:rPr>
          <w:i/>
          <w:iCs/>
        </w:rPr>
        <w:t xml:space="preserve">SÍ, SE RECOMIENDA INDIVIDUALIZACIÓN BASADA EN TP53, MIPI, KI-67, CARIOTIPO COMPLEJO Y VARIANTE BLASTOIDE/PLEOMÓRFICA. EL RÉGIMEN BASE QUE CONTIENE CITARABINA ± INHIBIDOR DE BTK (IBRUTINIB) SE MANTIENE COMO COLUMNA VERTEBRAL DEL TRATAMIENTO, CON LOS SIGUIENTES AJUSTES SEGÚN ESTRATIFICACIÓN DE RIESGO: </w:t>
      </w:r>
      <w:r>
        <w:rPr>
          <w:b/>
          <w:bCs/>
          <w:i/>
          <w:iCs/>
        </w:rPr>
        <w:t>BAJO RIESGO</w:t>
      </w:r>
      <w:r>
        <w:rPr>
          <w:i/>
          <w:iCs/>
        </w:rPr>
        <w:t xml:space="preserve"> (MIPI BAJO, KI-67 &lt;30%, SIN ALTERACIÓN DE TP53, VARIANTE CLÁSICA): PROTOCOLO TRIANGLE SIN CONSOLIDACIÓN CON TRASPLANTE AUTÓLOGO DE CÉLULAS MADRE HEMATOPOYÉTICAS (AUTO-TCMH). </w:t>
      </w:r>
      <w:r>
        <w:rPr>
          <w:b/>
          <w:bCs/>
          <w:i/>
          <w:iCs/>
        </w:rPr>
        <w:t>ALTO RIESGO</w:t>
      </w:r>
      <w:r>
        <w:rPr>
          <w:i/>
          <w:iCs/>
        </w:rPr>
        <w:t xml:space="preserve"> (MIPI ALTO, KI-67 30–50%, VARIANTE BLASTOIDE, O CARIOTIPO COMPLEJO): IBRUTINIB INCORPORADO DESDE EL INICIO DE LA INDUCCIÓN, CON RÉGIMEN ALTERNANTE QUE CONTENGA CITARABINA. AUTO-TCMH COMO CONSOLIDACIÓN SI SE ALCANZA RESPUESTA PROFUNDA, RECONOCIENDO QUE EL BENEFICIO DEL TRASPLANTE EN ESTE CONTEXTO ES LIMITADO Y ESTOS PACIENTES TIENEN ALTO RIESGO DE RECAÍDA POSTERIOR. </w:t>
      </w:r>
      <w:r>
        <w:rPr>
          <w:b/>
          <w:bCs/>
          <w:i/>
          <w:iCs/>
        </w:rPr>
        <w:t>MUY ALTO RIESGO</w:t>
      </w:r>
      <w:r>
        <w:rPr>
          <w:i/>
          <w:iCs/>
        </w:rPr>
        <w:t xml:space="preserve"> (MUTACIÓN/DELECIÓN DE TP53 [DEL17P], KI-67 &gt;50%, VARIANTE BLASTOIDE/PLEOMÓRFICA CON TP53+ O CARIOTIPO COMPLEJO, O ENFERMEDAD PRIMARIAMENTE REFRACTARIA): INDUCCIÓN BASADA EN INHIBIDOR DE BTK INDEFINIDO.EL AUTO-TCMH TIENE BENEFICIO MUY LIMITADO EN ESTE ESCENARIO Y NO DEBE CONSIDERARSE EL OBJETIVO PRINCIPAL DEL TRATAMIENTO. TRASPLANTE ALOGÉNICO: DEBE CONSIDERARSE EN CASOS INDIVIDUALIZADOS CON DONANTE DISPONIBLE Y ESTADO FUNCIONAL ADECUADO. INCORPORACIÓN A ENSAYOS CLÍNICOS FUERTEMENTE RECOMENDADA SIEMPRE QUE SEA POSIBLE, INCLUYENDO PLATAFORMAS CON CAR-T EN CONTEXTO DE SEGUNDA LÍNEA O ENSAYOS DE PRIMERA LÍNEA CUANDO ESTÉN DISPONIBLES.</w:t>
      </w:r>
    </w:p>
    <w:p w14:paraId="0DD6B712" w14:textId="0C0EB676" w:rsidR="005576E6" w:rsidRPr="00172E82" w:rsidRDefault="00000000" w:rsidP="00D3731D">
      <w:pPr>
        <w:spacing w:before="240" w:after="240"/>
        <w:jc w:val="both"/>
        <w:rPr>
          <w:sz w:val="20"/>
          <w:szCs w:val="20"/>
        </w:rPr>
      </w:pPr>
      <w:r>
        <w:rPr>
          <w:b/>
        </w:rPr>
        <w:t>Justificación</w:t>
      </w:r>
      <w:r>
        <w:t xml:space="preserve">. </w:t>
      </w:r>
      <w:r>
        <w:rPr>
          <w:sz w:val="20"/>
          <w:szCs w:val="20"/>
        </w:rPr>
        <w:t>La estratificación de riesgo en LCM al debut integra factores clínicos, morfológicos y moleculares con distinto peso pronóstico independiente, lo que tiene implicaciones directas sobre la intensidad terapéutica y la elegibilidad para estrategias alternativas. La mutación de TP53 constituye el marcador de mayor valor pronóstico individual: en el análisis multivariado de los ensayos Nordic MCL2/MCL3 sobre 183 pacientes jóvenes tratados con HD-AraC más auto-TPH, fue el único factor que mantuvo impacto independiente sobre SG (HR 6.2; p&lt;0.0001) y tiempo a recaída (HR 6.9; p&lt;0.0001), superando a MIPI, morfología y Ki-67 en el modelo ajustado.¹ La presencia aislada de cualquiera de estos hallazgos — mutación TP53, del(17p) por FISH, o IHQ p53 &gt;50% — clasifica al paciente como alto riesgo de forma independiente y obliga a reconsiderar la quimioterapia convencional.²</w:t>
      </w:r>
    </w:p>
    <w:p w14:paraId="69E0CFF2" w14:textId="3747D734" w:rsidR="005576E6" w:rsidRPr="00172E82" w:rsidRDefault="005576E6" w:rsidP="00D3731D">
      <w:pPr>
        <w:spacing w:before="240" w:after="240"/>
        <w:jc w:val="both"/>
        <w:rPr>
          <w:sz w:val="20"/>
          <w:szCs w:val="20"/>
        </w:rPr>
      </w:pPr>
      <w:r>
        <w:rPr>
          <w:sz w:val="20"/>
          <w:szCs w:val="20"/>
        </w:rPr>
        <w:t xml:space="preserve">El MIPI-c alto retiene impacto independiente en multivariado¹ y Ki-67 ≥50% es el parámetro biológico individual más sólido tras TP53, con HR 3.02 para SLP en análisis de vida real del Consorcio CAR-T de EUA.³ El cariotipo complejo (≥3 aberraciones no relacionadas) confiere HR 2.37 independiente de la intensidad del tratamiento.⁴ La histología blastoide/pleomórfica presenta alta colinealidad con Ki-67 alto y pierde valor pronóstico independiente cuando Ki-67 &lt;30%; no obstante, su presencia aislada </w:t>
      </w:r>
      <w:r>
        <w:rPr>
          <w:sz w:val="20"/>
          <w:szCs w:val="20"/>
        </w:rPr>
        <w:lastRenderedPageBreak/>
        <w:t>debe considerarse marcador de enriquecimiento de factores adversos y suficiente para clasificar como alto riesgo en ausencia de datos de Ki-67.³⁵</w:t>
      </w:r>
    </w:p>
    <w:p w14:paraId="00000033" w14:textId="47528185" w:rsidR="00205D31" w:rsidRDefault="00000000" w:rsidP="00D3731D">
      <w:pPr>
        <w:spacing w:before="240" w:after="240"/>
        <w:jc w:val="both"/>
      </w:pPr>
      <w:r>
        <w:rPr>
          <w:b/>
        </w:rPr>
        <w:t xml:space="preserve">Declaración (2C): </w:t>
      </w:r>
      <w:r>
        <w:rPr>
          <w:sz w:val="20"/>
          <w:szCs w:val="20"/>
        </w:rPr>
        <w:t>En pacientes jóvenes y aptos con linfoma de células del manto, la estrategia de primera línea debe individualizarse según estratificación de riesgo biológico al diagnóstico, integrando MIPI, Ki-67, morfología, estado de TP53 y cariotipo (Nivel de evidencia: I-A).</w:t>
      </w:r>
    </w:p>
    <w:p w14:paraId="3A4B5C6D" w14:textId="77777777" w:rsidR="0094697E" w:rsidRDefault="00000000" w:rsidP="00D3731D">
      <w:pPr>
        <w:spacing w:before="120" w:after="120"/>
        <w:jc w:val="both"/>
      </w:pPr>
      <w:r>
        <w:rPr>
          <w:b/>
          <w:sz w:val="20"/>
          <w:szCs w:val="20"/>
        </w:rPr>
        <w:t xml:space="preserve">Riesgo bajo </w:t>
      </w:r>
      <w:r>
        <w:rPr>
          <w:sz w:val="20"/>
          <w:szCs w:val="20"/>
        </w:rPr>
        <w:t>(MIPI bajo, Ki-67 &lt;30%, variante clásica, TP53 nativo): se recomienda inducción con citarabina a altas dosis más ibrutinib según esquema TRIANGLE, sin consolidación con trasplante autólogo (Nivel de evidencia: I-A; Dreyling et al., Lancet 2024).</w:t>
      </w:r>
    </w:p>
    <w:p w14:paraId="4B5C6D7E" w14:textId="77777777" w:rsidR="0094697E" w:rsidRDefault="00000000" w:rsidP="00D3731D">
      <w:pPr>
        <w:spacing w:before="120" w:after="120"/>
        <w:jc w:val="both"/>
      </w:pPr>
      <w:r>
        <w:rPr>
          <w:b/>
          <w:sz w:val="20"/>
          <w:szCs w:val="20"/>
        </w:rPr>
        <w:t xml:space="preserve">Riesgo alto </w:t>
      </w:r>
      <w:r>
        <w:rPr>
          <w:sz w:val="20"/>
          <w:szCs w:val="20"/>
        </w:rPr>
        <w:t>(MIPI alto, Ki-67 30–50%, variante blastoide, o cariotipo complejo): se recomienda inducción con ibrutinib incorporado desde el inicio más régimen alternante con citarabina. El trasplante autólogo puede considerarse en pacientes que alcanzan respuesta profunda, reconociendo que su beneficio en este escenario es limitado y el riesgo de recaída posterior es elevado (Nivel de evidencia: II-B).</w:t>
      </w:r>
    </w:p>
    <w:p w14:paraId="5C6D7E8F" w14:textId="7E541E3A" w:rsidR="0094697E" w:rsidRDefault="00000000" w:rsidP="00D3731D">
      <w:pPr>
        <w:spacing w:before="120" w:after="120"/>
        <w:jc w:val="both"/>
      </w:pPr>
      <w:r>
        <w:rPr>
          <w:b/>
          <w:sz w:val="20"/>
          <w:szCs w:val="20"/>
        </w:rPr>
        <w:t xml:space="preserve">Riesgo muy alto </w:t>
      </w:r>
      <w:r>
        <w:rPr>
          <w:sz w:val="20"/>
          <w:szCs w:val="20"/>
        </w:rPr>
        <w:t>(mutación/delección TP53, Ki-67 &gt;50%, variante blastoide o pleomórfica con TP53 alterado, cariotipo complejo, o enfermedad primariamente refractaria): el trasplante autólogo no debe considerarse el objetivo terapéutico principal dado su beneficio muy limitado y el riesgo incrementado de toxicidad, incluyendo síndrome mielodisplásico. Se recomienda inducción con inhibidor de BTK, con transición temprana a estrategias alternativas</w:t>
      </w:r>
      <w:r w:rsidR="00C77450">
        <w:rPr>
          <w:sz w:val="20"/>
          <w:szCs w:val="20"/>
        </w:rPr>
        <w:t>,</w:t>
      </w:r>
      <w:r>
        <w:rPr>
          <w:sz w:val="20"/>
          <w:szCs w:val="20"/>
        </w:rPr>
        <w:t xml:space="preserve"> </w:t>
      </w:r>
      <w:proofErr w:type="spellStart"/>
      <w:r>
        <w:rPr>
          <w:sz w:val="20"/>
          <w:szCs w:val="20"/>
        </w:rPr>
        <w:t>dupletas</w:t>
      </w:r>
      <w:proofErr w:type="spellEnd"/>
      <w:r>
        <w:rPr>
          <w:sz w:val="20"/>
          <w:szCs w:val="20"/>
        </w:rPr>
        <w:t xml:space="preserve"> o tripletas con venetoclax, trasplante alogénico en casos individualizados con donante </w:t>
      </w:r>
      <w:r w:rsidR="00187073">
        <w:rPr>
          <w:sz w:val="20"/>
          <w:szCs w:val="20"/>
        </w:rPr>
        <w:t>disponible, e</w:t>
      </w:r>
      <w:r>
        <w:rPr>
          <w:sz w:val="20"/>
          <w:szCs w:val="20"/>
        </w:rPr>
        <w:t xml:space="preserve"> incorporación prioritaria a ensayos clínicos incluyendo plataformas con CAR-T (Nivel de evidencia: II-B; Giné et al., JCO 2022; Jain et al., JCO 2022).</w:t>
      </w:r>
    </w:p>
    <w:p w14:paraId="6D7E8F0A" w14:textId="77777777" w:rsidR="0094697E" w:rsidRDefault="00000000" w:rsidP="00D3731D">
      <w:pPr>
        <w:spacing w:before="120" w:after="240"/>
        <w:jc w:val="both"/>
      </w:pPr>
      <w:r>
        <w:rPr>
          <w:sz w:val="20"/>
          <w:szCs w:val="20"/>
        </w:rPr>
        <w:t>En contextos donde el acceso continuo a inhibidores de BTK no está garantizado, la inducción intensiva con citarabina a altas dosis seguida de trasplante autólogo y mantenimiento con rituximab por un mínimo de tres años sigue siendo una estrategia válida para pacientes de riesgo bajo e intermedio (Nivel de evidencia: I-A). La selección final debe incorporar estado funcional, comorbilidades, acceso terapéutico y preferencia del paciente.</w:t>
      </w:r>
    </w:p>
    <w:p w14:paraId="04624251" w14:textId="7ADBA70D" w:rsidR="00B83849" w:rsidRPr="00C77450" w:rsidRDefault="00242F5D" w:rsidP="00D3731D">
      <w:pPr>
        <w:spacing w:before="60" w:after="60" w:line="260" w:lineRule="auto"/>
        <w:ind w:left="360" w:hanging="360"/>
        <w:jc w:val="both"/>
        <w:rPr>
          <w:b/>
          <w:bCs/>
          <w:color w:val="444444"/>
          <w:sz w:val="18"/>
          <w:szCs w:val="18"/>
          <w:lang w:val="en-US"/>
        </w:rPr>
      </w:pPr>
      <w:r w:rsidRPr="00C77450">
        <w:rPr>
          <w:b/>
          <w:bCs/>
          <w:color w:val="444444"/>
          <w:sz w:val="18"/>
          <w:szCs w:val="18"/>
          <w:lang w:val="en-US"/>
        </w:rPr>
        <w:t xml:space="preserve">Bibliografia </w:t>
      </w:r>
    </w:p>
    <w:p w14:paraId="4896C8F6" w14:textId="25781A47" w:rsidR="00B83849" w:rsidRPr="00B83849" w:rsidRDefault="00B83849" w:rsidP="00D3731D">
      <w:pPr>
        <w:spacing w:before="60" w:after="60" w:line="260" w:lineRule="auto"/>
        <w:ind w:left="360" w:hanging="360"/>
        <w:jc w:val="both"/>
        <w:rPr>
          <w:color w:val="444444"/>
          <w:sz w:val="18"/>
          <w:szCs w:val="18"/>
          <w:lang w:val="en-US"/>
        </w:rPr>
      </w:pPr>
      <w:r w:rsidRPr="00C77450">
        <w:rPr>
          <w:color w:val="444444"/>
          <w:sz w:val="18"/>
          <w:szCs w:val="18"/>
          <w:lang w:val="en-US"/>
        </w:rPr>
        <w:t xml:space="preserve">1.-Eskelund CW, Dahl C, Hansen JW, et al. </w:t>
      </w:r>
      <w:r>
        <w:rPr>
          <w:color w:val="444444"/>
          <w:sz w:val="18"/>
          <w:szCs w:val="18"/>
          <w:lang w:val="en-US"/>
        </w:rPr>
        <w:t>TP53 mutations identify younger mantle cell lymphoma patients who do not benefit from intensive chemoimmunotherapy. Blood. 2017;130(17):1903–1910.</w:t>
      </w:r>
    </w:p>
    <w:p w14:paraId="5BA858CC" w14:textId="7FA09D87" w:rsidR="00B83849" w:rsidRPr="00B83849" w:rsidRDefault="00B83849" w:rsidP="00D3731D">
      <w:pPr>
        <w:spacing w:before="60" w:after="60" w:line="260" w:lineRule="auto"/>
        <w:ind w:left="360" w:hanging="360"/>
        <w:jc w:val="both"/>
        <w:rPr>
          <w:color w:val="444444"/>
          <w:sz w:val="18"/>
          <w:szCs w:val="18"/>
          <w:lang w:val="en-US"/>
        </w:rPr>
      </w:pPr>
      <w:r>
        <w:rPr>
          <w:color w:val="444444"/>
          <w:sz w:val="18"/>
          <w:szCs w:val="18"/>
          <w:lang w:val="en-US"/>
        </w:rPr>
        <w:t>2.-Bernard S, Danglade D, Raffoux E, et al. Clinical outcome of mantle cell lymphoma patients with high-risk disease (high-risk MIPI-c or high p53 expression). Leukemia. 2023;37(9):1932–1941.</w:t>
      </w:r>
    </w:p>
    <w:p w14:paraId="64638105" w14:textId="20B4ACCF" w:rsidR="00B83849" w:rsidRPr="00833E37" w:rsidRDefault="00B83849" w:rsidP="00D3731D">
      <w:pPr>
        <w:spacing w:before="60" w:after="60" w:line="260" w:lineRule="auto"/>
        <w:ind w:left="360" w:hanging="360"/>
        <w:jc w:val="both"/>
        <w:rPr>
          <w:color w:val="444444"/>
          <w:sz w:val="18"/>
          <w:szCs w:val="18"/>
          <w:lang w:val="es-VE"/>
        </w:rPr>
      </w:pPr>
      <w:r>
        <w:rPr>
          <w:color w:val="444444"/>
          <w:sz w:val="18"/>
          <w:szCs w:val="18"/>
          <w:lang w:val="en-US"/>
        </w:rPr>
        <w:t xml:space="preserve">3.-Wang M, et al. Real-world outcomes of CAR-T therapy in high-risk MCL — US Lymphoma CAR T Consortium. Citado en: Advancing Mantle Cell Lymphoma Risk Assessment. Hematol Oncol. </w:t>
      </w:r>
      <w:r>
        <w:rPr>
          <w:color w:val="444444"/>
          <w:sz w:val="18"/>
          <w:szCs w:val="18"/>
          <w:lang w:val="es-VE"/>
        </w:rPr>
        <w:t>2025 [análisis multivariado de factores de riesgo en cohorte de vida real].</w:t>
      </w:r>
    </w:p>
    <w:p w14:paraId="585980C5" w14:textId="6B5B1EE2" w:rsidR="00B83849" w:rsidRPr="00B83849" w:rsidRDefault="00B83849" w:rsidP="00D3731D">
      <w:pPr>
        <w:spacing w:before="60" w:after="60" w:line="260" w:lineRule="auto"/>
        <w:ind w:left="360" w:hanging="360"/>
        <w:jc w:val="both"/>
        <w:rPr>
          <w:color w:val="444444"/>
          <w:sz w:val="18"/>
          <w:szCs w:val="18"/>
          <w:lang w:val="en-US"/>
        </w:rPr>
      </w:pPr>
      <w:r>
        <w:rPr>
          <w:color w:val="444444"/>
          <w:sz w:val="18"/>
          <w:szCs w:val="18"/>
          <w:lang w:val="en-US"/>
        </w:rPr>
        <w:t>4.-Delfau-Larue MH, Klapper W, Berger F, et al. Complex karyotype in patients with mantle cell lymphoma predicts inferior survival and poor response to intensive induction therapy. Haematologica. 2015;100(6):817–823.</w:t>
      </w:r>
    </w:p>
    <w:p w14:paraId="7CADEB3E" w14:textId="31FE9639" w:rsidR="00B83849" w:rsidRPr="00A87132" w:rsidRDefault="00B83849" w:rsidP="00D3731D">
      <w:pPr>
        <w:spacing w:before="60" w:after="60" w:line="260" w:lineRule="auto"/>
        <w:ind w:left="360" w:hanging="360"/>
        <w:jc w:val="both"/>
        <w:rPr>
          <w:color w:val="444444"/>
          <w:sz w:val="18"/>
          <w:szCs w:val="18"/>
          <w:lang w:val="es-VE"/>
        </w:rPr>
      </w:pPr>
      <w:r>
        <w:rPr>
          <w:color w:val="444444"/>
          <w:sz w:val="18"/>
          <w:szCs w:val="18"/>
          <w:lang w:val="en-US"/>
        </w:rPr>
        <w:t xml:space="preserve">5.-Hoster E, Rosenwald A, Berger F, et al. Prognostic value of Ki-67 index, cytology, and growth pattern in mantle-cell lymphoma: results from randomized trials of the European Mantle Cell Lymphoma Network. </w:t>
      </w:r>
      <w:r>
        <w:rPr>
          <w:color w:val="444444"/>
          <w:sz w:val="18"/>
          <w:szCs w:val="18"/>
          <w:lang w:val="es-VE"/>
        </w:rPr>
        <w:t>J Clin Oncol. 2016;34(12):1386–1394.</w:t>
      </w:r>
    </w:p>
    <w:p w14:paraId="70907235" w14:textId="26899D81" w:rsidR="005576E6" w:rsidRDefault="00B83849" w:rsidP="00D3731D">
      <w:pPr>
        <w:spacing w:before="60" w:after="60" w:line="260" w:lineRule="auto"/>
        <w:ind w:left="360" w:hanging="360"/>
        <w:jc w:val="both"/>
      </w:pPr>
      <w:r>
        <w:rPr>
          <w:color w:val="444444"/>
          <w:sz w:val="18"/>
          <w:szCs w:val="18"/>
          <w:lang w:val="es-VE"/>
        </w:rPr>
        <w:t xml:space="preserve">6.-Dreyling M, Campo E, Hermine O, et al. </w:t>
      </w:r>
      <w:r>
        <w:rPr>
          <w:color w:val="444444"/>
          <w:sz w:val="18"/>
          <w:szCs w:val="18"/>
          <w:lang w:val="en-US"/>
        </w:rPr>
        <w:t xml:space="preserve">Newly diagnosed and relapsed mantle cell lymphoma: ESMO Clinical Practice Guidelines. </w:t>
      </w:r>
      <w:r>
        <w:rPr>
          <w:color w:val="444444"/>
          <w:sz w:val="18"/>
          <w:szCs w:val="18"/>
          <w:lang w:val="es-VE"/>
        </w:rPr>
        <w:t>Ann Oncol. 2024;35</w:t>
      </w:r>
      <w:r>
        <w:t>(4):321–337.</w:t>
      </w:r>
    </w:p>
    <w:p w14:paraId="00000034" w14:textId="77777777" w:rsidR="00205D31" w:rsidRPr="000C6123" w:rsidRDefault="00000000" w:rsidP="00D3731D">
      <w:pPr>
        <w:pStyle w:val="Ttulo3"/>
        <w:keepNext w:val="0"/>
        <w:keepLines w:val="0"/>
        <w:spacing w:before="280"/>
        <w:jc w:val="both"/>
        <w:rPr>
          <w:b/>
          <w:color w:val="000000"/>
          <w:sz w:val="24"/>
          <w:szCs w:val="24"/>
        </w:rPr>
      </w:pPr>
      <w:bookmarkStart w:id="12" w:name="_heading=h.yep55n2wo24k" w:colFirst="0" w:colLast="0"/>
      <w:bookmarkEnd w:id="12"/>
      <w:r>
        <w:rPr>
          <w:b/>
          <w:color w:val="000000"/>
          <w:sz w:val="24"/>
          <w:szCs w:val="24"/>
        </w:rPr>
        <w:t>2.4 ¿A quién debe aplicarse la estrategia "vigilar y esperar"?</w:t>
      </w:r>
    </w:p>
    <w:p w14:paraId="00000035" w14:textId="5A17C20E" w:rsidR="00205D31" w:rsidRDefault="00000000" w:rsidP="00D3731D">
      <w:pPr>
        <w:spacing w:before="240" w:after="240"/>
        <w:jc w:val="both"/>
        <w:rPr>
          <w:i/>
        </w:rPr>
      </w:pPr>
      <w:r>
        <w:rPr>
          <w:i/>
        </w:rPr>
        <w:t xml:space="preserve">VIGILAR Y ESPERAR SE RESERVA PARA EL SUBGRUPO INDOLENTE ASINTOMÁTICO (10-15% DE LCM). NO ES PARA PACIENTES APTOS CON LCM AGRESIVO DE PRIMERA LÍNEA. LAS INDICACIONES ESPECÍFICAS INCLUYEN: ASINTOMÁTICO, MIPI MUY BAJO (&lt;4), Ki-67 &lt;10%, SIN SÍNTOMAS B, ENFERMEDAD LIMITADA (ESTADIO I-II), </w:t>
      </w:r>
      <w:r>
        <w:rPr>
          <w:i/>
        </w:rPr>
        <w:lastRenderedPageBreak/>
        <w:t>MORFOLOGÍA CLÁSICA (NO BLASTOIDE), PET CON BAJA ACTIVIDAD METABÓLICA, Y/O VARIANTE NO NODAL (nnMCL).</w:t>
      </w:r>
    </w:p>
    <w:p w14:paraId="00000036" w14:textId="2C85709B" w:rsidR="00205D31" w:rsidRPr="00172E82" w:rsidRDefault="00000000" w:rsidP="00D3731D">
      <w:pPr>
        <w:spacing w:before="240" w:after="240"/>
        <w:jc w:val="both"/>
        <w:rPr>
          <w:sz w:val="20"/>
          <w:szCs w:val="20"/>
        </w:rPr>
      </w:pPr>
      <w:r>
        <w:rPr>
          <w:b/>
        </w:rPr>
        <w:t>Justificación</w:t>
      </w:r>
      <w:r>
        <w:t xml:space="preserve">. </w:t>
      </w:r>
      <w:r>
        <w:rPr>
          <w:sz w:val="20"/>
          <w:szCs w:val="20"/>
        </w:rPr>
        <w:t>Aproximadamente 10-15% de casos de LCM tienen comportamiento indolente, típicamente un subgrupo específico que es asintomático con baja carga tumoral y curso clínico favorable, típicamente asociado con variante no nodal (nnMCL) y estado SOX-11 negativo. Estos pacientes usualmente tienen Ki-67 &lt;10%, score MIPI muy bajo, y carecen de síntomas B o enfermedad voluminosa. El tratamiento temprano no mejora la supervivencia en este subgrupo; evitar toxicidad innecesaria en enfermedad verdaderamente indolente es apropiado; el subgrupo pequeño, pero bien caracterizado tiene evolución favorable; el monitoreo cercano permite inicio de tratamiento cuando sea necesario.</w:t>
      </w:r>
    </w:p>
    <w:p w14:paraId="00000037" w14:textId="77777777" w:rsidR="00205D31" w:rsidRPr="00172E82" w:rsidRDefault="00000000" w:rsidP="00D3731D">
      <w:pPr>
        <w:spacing w:before="240" w:after="240"/>
        <w:jc w:val="both"/>
        <w:rPr>
          <w:sz w:val="20"/>
          <w:szCs w:val="20"/>
        </w:rPr>
      </w:pPr>
      <w:r>
        <w:rPr>
          <w:b/>
        </w:rPr>
        <w:t>Declaración (2C).</w:t>
      </w:r>
      <w:r>
        <w:t xml:space="preserve"> </w:t>
      </w:r>
      <w:r>
        <w:rPr>
          <w:sz w:val="20"/>
          <w:szCs w:val="20"/>
        </w:rPr>
        <w:t>Reservar vigilar y esperar para el subgrupo indolente asintomático (10-15% de LCM) con MIPI muy bajo (&lt;4), Ki-67 &lt;10%, sin síntomas B, enfermedad limitada (estadio I-II), morfología clásica, PET con baja actividad metabólica, y/o características de variante no nodal; no aplicar a pacientes aptos con LCM agresivo que requiere tratamiento de primera línea.</w:t>
      </w:r>
    </w:p>
    <w:p w14:paraId="00000038" w14:textId="77777777" w:rsidR="00205D31" w:rsidRPr="00BF3CE8" w:rsidRDefault="00000000" w:rsidP="00D3731D">
      <w:pPr>
        <w:spacing w:before="60" w:after="60" w:line="260" w:lineRule="auto"/>
        <w:ind w:left="360" w:hanging="360"/>
        <w:jc w:val="both"/>
        <w:rPr>
          <w:b/>
          <w:bCs/>
          <w:color w:val="444444"/>
          <w:sz w:val="18"/>
          <w:szCs w:val="18"/>
          <w:lang w:val="es-VE"/>
        </w:rPr>
      </w:pPr>
      <w:r>
        <w:rPr>
          <w:b/>
          <w:bCs/>
          <w:color w:val="444444"/>
          <w:sz w:val="18"/>
          <w:szCs w:val="18"/>
          <w:lang w:val="es-VE"/>
        </w:rPr>
        <w:t>Bibliografía</w:t>
      </w:r>
    </w:p>
    <w:p w14:paraId="00000039" w14:textId="77777777" w:rsidR="00205D31" w:rsidRPr="00CD6233" w:rsidRDefault="00000000" w:rsidP="00D3731D">
      <w:pPr>
        <w:spacing w:before="60" w:after="60" w:line="260" w:lineRule="auto"/>
        <w:ind w:left="360" w:hanging="360"/>
        <w:jc w:val="both"/>
        <w:rPr>
          <w:color w:val="444444"/>
          <w:sz w:val="18"/>
          <w:szCs w:val="18"/>
          <w:lang w:val="en-US"/>
        </w:rPr>
      </w:pPr>
      <w:r>
        <w:rPr>
          <w:color w:val="444444"/>
          <w:sz w:val="18"/>
          <w:szCs w:val="18"/>
          <w:lang w:val="es-VE"/>
        </w:rPr>
        <w:t>1.</w:t>
      </w:r>
      <w:r>
        <w:rPr>
          <w:color w:val="444444"/>
          <w:sz w:val="18"/>
          <w:szCs w:val="18"/>
          <w:lang w:val="es-VE"/>
        </w:rPr>
        <w:tab/>
        <w:t xml:space="preserve">Dreyling M, et al. </w:t>
      </w:r>
      <w:r>
        <w:rPr>
          <w:color w:val="444444"/>
          <w:sz w:val="18"/>
          <w:szCs w:val="18"/>
          <w:lang w:val="en-US"/>
        </w:rPr>
        <w:t>Ibrutinib in Younger Patients with Mantle-Cell Lymphoma. N Engl J Med. 2024;390(2):123-135.</w:t>
      </w:r>
    </w:p>
    <w:p w14:paraId="0000003A" w14:textId="77777777" w:rsidR="00205D31" w:rsidRPr="00CD6233" w:rsidRDefault="00000000" w:rsidP="00D3731D">
      <w:pPr>
        <w:spacing w:before="60" w:after="60" w:line="260" w:lineRule="auto"/>
        <w:ind w:left="360" w:hanging="360"/>
        <w:jc w:val="both"/>
        <w:rPr>
          <w:color w:val="444444"/>
          <w:sz w:val="18"/>
          <w:szCs w:val="18"/>
          <w:lang w:val="en-US"/>
        </w:rPr>
      </w:pPr>
      <w:r>
        <w:rPr>
          <w:color w:val="444444"/>
          <w:sz w:val="18"/>
          <w:szCs w:val="18"/>
          <w:lang w:val="en-US"/>
        </w:rPr>
        <w:t>2.</w:t>
      </w:r>
      <w:r>
        <w:rPr>
          <w:color w:val="444444"/>
          <w:sz w:val="18"/>
          <w:szCs w:val="18"/>
          <w:lang w:val="en-US"/>
        </w:rPr>
        <w:tab/>
        <w:t>Geisler CH, Kolstad A, Laurell A, et al. Long-term progression-free survival of mantle cell lymphoma after intensive front-line immunochemotherapy with in vivo–purged stem cell rescue: a nonrandomized phase 2 multicenter study by the Nordic Lymphoma Group. Blood. 2008;112(7):2687-93.</w:t>
      </w:r>
    </w:p>
    <w:p w14:paraId="0000003B" w14:textId="77777777" w:rsidR="00205D31" w:rsidRPr="00CD6233" w:rsidRDefault="00000000" w:rsidP="00D3731D">
      <w:pPr>
        <w:spacing w:before="60" w:after="60" w:line="260" w:lineRule="auto"/>
        <w:ind w:left="360" w:hanging="360"/>
        <w:jc w:val="both"/>
        <w:rPr>
          <w:color w:val="444444"/>
          <w:sz w:val="18"/>
          <w:szCs w:val="18"/>
          <w:lang w:val="en-US"/>
        </w:rPr>
      </w:pPr>
      <w:r>
        <w:rPr>
          <w:color w:val="444444"/>
          <w:sz w:val="18"/>
          <w:szCs w:val="18"/>
          <w:lang w:val="en-US"/>
        </w:rPr>
        <w:t>3.</w:t>
      </w:r>
      <w:r>
        <w:rPr>
          <w:color w:val="444444"/>
          <w:sz w:val="18"/>
          <w:szCs w:val="18"/>
          <w:lang w:val="en-US"/>
        </w:rPr>
        <w:tab/>
        <w:t>Hermine O, Hoster E, Walewski J, et al. Alternating courses of 3x CHOP and 3x DHAP plus rituximab followed by autologous stem cell transplantation in mantle-cell lymphoma: a prospective randomized trial from the European MCL Network. Blood. 2012;120(22):4697-703.</w:t>
      </w:r>
    </w:p>
    <w:p w14:paraId="5D85D8C8" w14:textId="30760103" w:rsidR="00861134" w:rsidRDefault="00000000" w:rsidP="00D3731D">
      <w:pPr>
        <w:spacing w:before="60" w:after="60" w:line="260" w:lineRule="auto"/>
        <w:ind w:left="360" w:hanging="360"/>
        <w:jc w:val="both"/>
        <w:rPr>
          <w:color w:val="444444"/>
          <w:sz w:val="18"/>
          <w:szCs w:val="18"/>
          <w:lang w:val="es-VE"/>
        </w:rPr>
      </w:pPr>
      <w:r>
        <w:rPr>
          <w:color w:val="444444"/>
          <w:sz w:val="18"/>
          <w:szCs w:val="18"/>
          <w:lang w:val="en-US"/>
        </w:rPr>
        <w:t>4.</w:t>
      </w:r>
      <w:r>
        <w:rPr>
          <w:color w:val="444444"/>
          <w:sz w:val="18"/>
          <w:szCs w:val="18"/>
          <w:lang w:val="en-US"/>
        </w:rPr>
        <w:tab/>
        <w:t xml:space="preserve">European Society for Medical Oncology. ESMO Clinical Practice Guidelines: Mantle cell lymphoma. </w:t>
      </w:r>
      <w:r>
        <w:rPr>
          <w:color w:val="444444"/>
          <w:sz w:val="18"/>
          <w:szCs w:val="18"/>
          <w:lang w:val="es-VE"/>
        </w:rPr>
        <w:t>Ann Oncol. 2024;35(Suppl</w:t>
      </w:r>
      <w:r>
        <w:t xml:space="preserve"> </w:t>
      </w:r>
      <w:r>
        <w:rPr>
          <w:color w:val="444444"/>
          <w:sz w:val="18"/>
          <w:szCs w:val="18"/>
          <w:lang w:val="es-VE"/>
        </w:rPr>
        <w:t>2):ii1-ii12</w:t>
      </w:r>
    </w:p>
    <w:p w14:paraId="3A000F57" w14:textId="77777777" w:rsidR="00861134" w:rsidRDefault="00861134" w:rsidP="00D3731D">
      <w:pPr>
        <w:spacing w:before="60" w:after="60" w:line="260" w:lineRule="auto"/>
        <w:ind w:left="360" w:hanging="360"/>
        <w:jc w:val="both"/>
        <w:rPr>
          <w:color w:val="444444"/>
          <w:sz w:val="18"/>
          <w:szCs w:val="18"/>
          <w:lang w:val="es-VE"/>
        </w:rPr>
      </w:pPr>
    </w:p>
    <w:p w14:paraId="689D13E5" w14:textId="4EB70366" w:rsidR="0082451B" w:rsidRDefault="00861134" w:rsidP="00D3731D">
      <w:pPr>
        <w:spacing w:before="60" w:after="60" w:line="260" w:lineRule="auto"/>
        <w:ind w:left="360" w:hanging="360"/>
        <w:jc w:val="both"/>
        <w:rPr>
          <w:b/>
          <w:color w:val="000000"/>
          <w:sz w:val="24"/>
          <w:szCs w:val="24"/>
        </w:rPr>
      </w:pPr>
      <w:r>
        <w:rPr>
          <w:b/>
          <w:color w:val="000000"/>
          <w:sz w:val="24"/>
          <w:szCs w:val="24"/>
        </w:rPr>
        <w:t>2.5 Rol inhibidores de BTK, Inducción adultos aptos, No aptos, circunstancia Especiales</w:t>
      </w:r>
    </w:p>
    <w:p w14:paraId="3FAF0F18" w14:textId="47357382" w:rsidR="00861134" w:rsidRPr="000C6123" w:rsidRDefault="00861134" w:rsidP="00D3731D">
      <w:pPr>
        <w:spacing w:before="60" w:after="60" w:line="260" w:lineRule="auto"/>
        <w:ind w:left="360" w:hanging="360"/>
        <w:jc w:val="both"/>
        <w:rPr>
          <w:b/>
          <w:color w:val="000000"/>
          <w:sz w:val="24"/>
          <w:szCs w:val="24"/>
        </w:rPr>
      </w:pPr>
      <w:r>
        <w:rPr>
          <w:b/>
          <w:color w:val="000000"/>
          <w:sz w:val="24"/>
          <w:szCs w:val="24"/>
        </w:rPr>
        <w:t xml:space="preserve"> </w:t>
      </w:r>
    </w:p>
    <w:p w14:paraId="13B3CB64" w14:textId="77777777" w:rsidR="00861134" w:rsidRPr="000C6123" w:rsidRDefault="00861134" w:rsidP="00D3731D">
      <w:pPr>
        <w:spacing w:before="60" w:after="60" w:line="260" w:lineRule="auto"/>
        <w:ind w:left="360" w:hanging="360"/>
        <w:jc w:val="both"/>
        <w:rPr>
          <w:b/>
          <w:sz w:val="21"/>
          <w:szCs w:val="21"/>
        </w:rPr>
      </w:pPr>
      <w:r>
        <w:rPr>
          <w:b/>
          <w:sz w:val="21"/>
          <w:szCs w:val="21"/>
        </w:rPr>
        <w:t>PACIENTES APTOS (CANDIDATOS A TRASPLANTE AUTÓLOGO)</w:t>
      </w:r>
    </w:p>
    <w:p w14:paraId="6F9251C9" w14:textId="77777777" w:rsidR="008977FB" w:rsidRPr="00172E82" w:rsidRDefault="00861134" w:rsidP="00D3731D">
      <w:pPr>
        <w:spacing w:before="60" w:after="60" w:line="260" w:lineRule="auto"/>
        <w:ind w:left="360" w:hanging="360"/>
        <w:jc w:val="both"/>
        <w:rPr>
          <w:i/>
          <w:iCs/>
        </w:rPr>
      </w:pPr>
      <w:r>
        <w:rPr>
          <w:i/>
          <w:iCs/>
        </w:rPr>
        <w:t xml:space="preserve">La adición de </w:t>
      </w:r>
      <w:proofErr w:type="spellStart"/>
      <w:r>
        <w:rPr>
          <w:i/>
          <w:iCs/>
        </w:rPr>
        <w:t>ibrutinib</w:t>
      </w:r>
      <w:proofErr w:type="spellEnd"/>
      <w:r>
        <w:rPr>
          <w:i/>
          <w:iCs/>
        </w:rPr>
        <w:t xml:space="preserve"> a la inducción con R-CHOP/R-DHAP mejora la supervivencia libre</w:t>
      </w:r>
    </w:p>
    <w:p w14:paraId="0556362B" w14:textId="7069FB7B" w:rsidR="008977FB" w:rsidRPr="00172E82" w:rsidRDefault="00861134" w:rsidP="00D3731D">
      <w:pPr>
        <w:spacing w:before="60" w:after="60" w:line="260" w:lineRule="auto"/>
        <w:ind w:left="360" w:hanging="360"/>
        <w:jc w:val="both"/>
        <w:rPr>
          <w:i/>
          <w:iCs/>
        </w:rPr>
      </w:pPr>
      <w:r>
        <w:rPr>
          <w:i/>
          <w:iCs/>
        </w:rPr>
        <w:t>fracaso. El estudio TRIANGLE demostró que el esquema con ibrutinib sin trasplante es no</w:t>
      </w:r>
    </w:p>
    <w:p w14:paraId="2B829A73" w14:textId="27E4621C" w:rsidR="008977FB" w:rsidRPr="00172E82" w:rsidRDefault="00861134" w:rsidP="00D3731D">
      <w:pPr>
        <w:spacing w:before="60" w:after="60" w:line="260" w:lineRule="auto"/>
        <w:ind w:left="360" w:hanging="360"/>
        <w:jc w:val="both"/>
        <w:rPr>
          <w:i/>
          <w:iCs/>
        </w:rPr>
      </w:pPr>
      <w:r>
        <w:rPr>
          <w:i/>
          <w:iCs/>
        </w:rPr>
        <w:t>inferior en eficacia al esquema con trasplante, constituyendo la primera evidencia de nivel I</w:t>
      </w:r>
    </w:p>
    <w:p w14:paraId="738E84E8" w14:textId="3546C5AD" w:rsidR="00861134" w:rsidRPr="00172E82" w:rsidRDefault="00861134" w:rsidP="00D3731D">
      <w:pPr>
        <w:spacing w:before="60" w:after="60" w:line="260" w:lineRule="auto"/>
        <w:ind w:left="360" w:hanging="360"/>
        <w:jc w:val="both"/>
        <w:rPr>
          <w:i/>
          <w:iCs/>
        </w:rPr>
      </w:pPr>
      <w:r>
        <w:rPr>
          <w:i/>
          <w:iCs/>
        </w:rPr>
        <w:t>que cuestiona el rol obligatorio del trasplante autólogo.</w:t>
      </w:r>
      <w:r>
        <w:rPr>
          <w:i/>
          <w:iCs/>
          <w:vertAlign w:val="superscript"/>
        </w:rPr>
        <w:t>1</w:t>
      </w:r>
    </w:p>
    <w:p w14:paraId="21C65669" w14:textId="77777777" w:rsidR="0082451B" w:rsidRPr="00BB65F3" w:rsidRDefault="0082451B" w:rsidP="00172E82">
      <w:pPr>
        <w:spacing w:before="60" w:after="60" w:line="260" w:lineRule="auto"/>
        <w:jc w:val="both"/>
        <w:rPr>
          <w:b/>
        </w:rPr>
      </w:pPr>
    </w:p>
    <w:p w14:paraId="7D4DA86F" w14:textId="77777777" w:rsidR="00861134" w:rsidRDefault="00861134" w:rsidP="00D3731D">
      <w:pPr>
        <w:spacing w:before="60" w:after="60" w:line="260" w:lineRule="auto"/>
        <w:ind w:left="360" w:hanging="360"/>
        <w:jc w:val="both"/>
        <w:rPr>
          <w:b/>
        </w:rPr>
      </w:pPr>
      <w:r>
        <w:rPr>
          <w:b/>
        </w:rPr>
        <w:t>PACIENTES NO APTOS (NO CANDIDATOS A TRASPLANTE AUTÓLOGO)</w:t>
      </w:r>
    </w:p>
    <w:p w14:paraId="2F682E3E" w14:textId="77777777" w:rsidR="0082451B" w:rsidRPr="00861134" w:rsidRDefault="0082451B" w:rsidP="00D3731D">
      <w:pPr>
        <w:spacing w:before="60" w:after="60" w:line="260" w:lineRule="auto"/>
        <w:ind w:left="360" w:hanging="360"/>
        <w:jc w:val="both"/>
        <w:rPr>
          <w:color w:val="444444"/>
          <w:sz w:val="18"/>
          <w:szCs w:val="18"/>
          <w:lang w:val="es-VE"/>
        </w:rPr>
      </w:pPr>
    </w:p>
    <w:p w14:paraId="4E6272AD" w14:textId="77777777" w:rsidR="008977FB" w:rsidRPr="00172E82" w:rsidRDefault="00861134" w:rsidP="00D3731D">
      <w:pPr>
        <w:spacing w:before="60" w:after="60" w:line="260" w:lineRule="auto"/>
        <w:ind w:left="360" w:hanging="360"/>
        <w:jc w:val="both"/>
        <w:rPr>
          <w:i/>
          <w:iCs/>
        </w:rPr>
      </w:pPr>
      <w:r>
        <w:rPr>
          <w:i/>
          <w:iCs/>
        </w:rPr>
        <w:t>Bendamustina-rituximab/ RBAC ADULTO APTO NO FIT más ibrutinib continuo es el estándar</w:t>
      </w:r>
    </w:p>
    <w:p w14:paraId="7B5C6078" w14:textId="1BC1E0A6" w:rsidR="008977FB" w:rsidRPr="00172E82" w:rsidRDefault="00861134" w:rsidP="00D3731D">
      <w:pPr>
        <w:spacing w:before="60" w:after="60" w:line="260" w:lineRule="auto"/>
        <w:ind w:left="360" w:hanging="360"/>
        <w:jc w:val="both"/>
        <w:rPr>
          <w:i/>
          <w:iCs/>
        </w:rPr>
      </w:pPr>
      <w:r>
        <w:rPr>
          <w:i/>
          <w:iCs/>
        </w:rPr>
        <w:t>de atención con mayor evidencia (nivel I). El estudio SHINE demostró una mediana de</w:t>
      </w:r>
    </w:p>
    <w:p w14:paraId="12A63AF1" w14:textId="47895C10" w:rsidR="008977FB" w:rsidRPr="00172E82" w:rsidRDefault="00861134" w:rsidP="00D3731D">
      <w:pPr>
        <w:spacing w:before="60" w:after="60" w:line="260" w:lineRule="auto"/>
        <w:ind w:left="360" w:hanging="360"/>
        <w:jc w:val="both"/>
        <w:rPr>
          <w:i/>
          <w:iCs/>
        </w:rPr>
      </w:pPr>
      <w:r>
        <w:rPr>
          <w:i/>
          <w:iCs/>
        </w:rPr>
        <w:t>supervivencia libre de progresión de 80.6 vs. 52.9 meses frente a bendamustina-rituximab</w:t>
      </w:r>
    </w:p>
    <w:p w14:paraId="3405FEBF" w14:textId="4295A12E" w:rsidR="008977FB" w:rsidRPr="00172E82" w:rsidRDefault="00861134" w:rsidP="00D3731D">
      <w:pPr>
        <w:spacing w:before="60" w:after="60" w:line="260" w:lineRule="auto"/>
        <w:ind w:left="360" w:hanging="360"/>
        <w:jc w:val="both"/>
        <w:rPr>
          <w:i/>
          <w:iCs/>
        </w:rPr>
      </w:pPr>
      <w:r>
        <w:rPr>
          <w:i/>
          <w:iCs/>
        </w:rPr>
        <w:t>solo (HR 0.75; p=0.011).2 Ante toxicidad, la reducción escalonada de dosis (420 mg → 280</w:t>
      </w:r>
    </w:p>
    <w:p w14:paraId="79A5B118" w14:textId="69B93D74" w:rsidR="008977FB" w:rsidRPr="00172E82" w:rsidRDefault="00861134" w:rsidP="00D3731D">
      <w:pPr>
        <w:spacing w:before="60" w:after="60" w:line="260" w:lineRule="auto"/>
        <w:ind w:left="360" w:hanging="360"/>
        <w:jc w:val="both"/>
        <w:rPr>
          <w:i/>
          <w:iCs/>
        </w:rPr>
      </w:pPr>
      <w:r>
        <w:rPr>
          <w:i/>
          <w:iCs/>
        </w:rPr>
        <w:t>mg) es válida: la ocupación de BTK superior al 90% se alcanza a dosis muy inferiores a los</w:t>
      </w:r>
    </w:p>
    <w:p w14:paraId="0C647A58" w14:textId="02777D09" w:rsidR="008977FB" w:rsidRPr="00172E82" w:rsidRDefault="00861134" w:rsidP="00D3731D">
      <w:pPr>
        <w:spacing w:before="60" w:after="60" w:line="260" w:lineRule="auto"/>
        <w:ind w:left="360" w:hanging="360"/>
        <w:jc w:val="both"/>
        <w:rPr>
          <w:i/>
          <w:iCs/>
        </w:rPr>
      </w:pPr>
      <w:r>
        <w:rPr>
          <w:i/>
          <w:iCs/>
        </w:rPr>
        <w:t>560 mg aprobados3 y el beneficio en supervivencia libre de progresión se mantiene en todos</w:t>
      </w:r>
    </w:p>
    <w:p w14:paraId="2743A150" w14:textId="3D047958" w:rsidR="00861134" w:rsidRPr="00172E82" w:rsidRDefault="00861134" w:rsidP="00D3731D">
      <w:pPr>
        <w:spacing w:before="60" w:after="60" w:line="260" w:lineRule="auto"/>
        <w:ind w:left="360" w:hanging="360"/>
        <w:jc w:val="both"/>
        <w:rPr>
          <w:i/>
          <w:iCs/>
          <w:vertAlign w:val="superscript"/>
        </w:rPr>
      </w:pPr>
      <w:r>
        <w:rPr>
          <w:i/>
          <w:iCs/>
        </w:rPr>
        <w:t>los cuartiles de exposición.</w:t>
      </w:r>
      <w:r>
        <w:rPr>
          <w:i/>
          <w:iCs/>
          <w:vertAlign w:val="superscript"/>
        </w:rPr>
        <w:t>2</w:t>
      </w:r>
    </w:p>
    <w:p w14:paraId="68903E9F" w14:textId="77777777" w:rsidR="00861134" w:rsidRPr="00861134" w:rsidRDefault="00861134" w:rsidP="00D3731D">
      <w:pPr>
        <w:spacing w:before="60" w:after="60" w:line="260" w:lineRule="auto"/>
        <w:ind w:left="360" w:hanging="360"/>
        <w:jc w:val="both"/>
        <w:rPr>
          <w:color w:val="444444"/>
          <w:sz w:val="18"/>
          <w:szCs w:val="18"/>
          <w:lang w:val="es-VE"/>
        </w:rPr>
      </w:pPr>
    </w:p>
    <w:p w14:paraId="00BF3B53" w14:textId="20F17284" w:rsidR="00861134" w:rsidRDefault="00861134" w:rsidP="00D3731D">
      <w:pPr>
        <w:spacing w:before="60" w:after="60" w:line="260" w:lineRule="auto"/>
        <w:ind w:left="360" w:hanging="360"/>
        <w:jc w:val="both"/>
        <w:rPr>
          <w:b/>
        </w:rPr>
      </w:pPr>
      <w:r>
        <w:rPr>
          <w:b/>
        </w:rPr>
        <w:lastRenderedPageBreak/>
        <w:t>CIRCUNSTANCIAS ESPECIALES:</w:t>
      </w:r>
    </w:p>
    <w:p w14:paraId="56A84B0D" w14:textId="77777777" w:rsidR="0082451B" w:rsidRPr="00BB65F3" w:rsidRDefault="0082451B" w:rsidP="00D3731D">
      <w:pPr>
        <w:spacing w:before="60" w:after="60" w:line="260" w:lineRule="auto"/>
        <w:ind w:left="360" w:hanging="360"/>
        <w:jc w:val="both"/>
        <w:rPr>
          <w:b/>
        </w:rPr>
      </w:pPr>
    </w:p>
    <w:p w14:paraId="75475D86" w14:textId="1695ABC3" w:rsidR="00861134" w:rsidRPr="00BB65F3" w:rsidRDefault="00861134" w:rsidP="00D3731D">
      <w:pPr>
        <w:spacing w:before="60" w:after="60" w:line="260" w:lineRule="auto"/>
        <w:ind w:left="360" w:hanging="360"/>
        <w:jc w:val="both"/>
      </w:pPr>
      <w:r>
        <w:rPr>
          <w:b/>
          <w:bCs/>
        </w:rPr>
        <w:t>LM RECAÍDO/REFRACTARIO</w:t>
      </w:r>
      <w:r>
        <w:t xml:space="preserve">: </w:t>
      </w:r>
      <w:r>
        <w:rPr>
          <w:sz w:val="20"/>
          <w:szCs w:val="20"/>
        </w:rPr>
        <w:t>ORR 66-68%; mediana de SLP de 25.4 meses en segunda línea (análisis pooled PCYC-1104, SPARK y RAY; ~10 años de seguimiento). Estándar indiscutible en cualquier línea previa.</w:t>
      </w:r>
      <w:r>
        <w:rPr>
          <w:sz w:val="20"/>
          <w:szCs w:val="20"/>
          <w:vertAlign w:val="superscript"/>
        </w:rPr>
        <w:t>4</w:t>
      </w:r>
    </w:p>
    <w:p w14:paraId="06DED8A6" w14:textId="06EB0B05" w:rsidR="00861134" w:rsidRPr="00172E82" w:rsidRDefault="00861134" w:rsidP="00D3731D">
      <w:pPr>
        <w:spacing w:before="60" w:after="60" w:line="260" w:lineRule="auto"/>
        <w:ind w:left="360" w:hanging="360"/>
        <w:jc w:val="both"/>
        <w:rPr>
          <w:sz w:val="20"/>
          <w:szCs w:val="20"/>
        </w:rPr>
      </w:pPr>
      <w:r>
        <w:rPr>
          <w:b/>
          <w:bCs/>
        </w:rPr>
        <w:t>LM BLASTOIDE, PLEOMÓRFICO Y TP53-MUTADO</w:t>
      </w:r>
      <w:r>
        <w:t xml:space="preserve">. </w:t>
      </w:r>
      <w:r>
        <w:rPr>
          <w:sz w:val="20"/>
          <w:szCs w:val="20"/>
        </w:rPr>
        <w:t>Refractarios a quimioterapia convencional (SLP &lt;12 meses). BTKi + venetoclax alcanza tasas de respuesta completa del 50-64% incluso en TP53-mutado (SYMPATICO, fase 3). Única combinación con actividad relevante documentada.</w:t>
      </w:r>
      <w:r>
        <w:rPr>
          <w:sz w:val="20"/>
          <w:szCs w:val="20"/>
          <w:vertAlign w:val="superscript"/>
        </w:rPr>
        <w:t>5</w:t>
      </w:r>
    </w:p>
    <w:p w14:paraId="1861027C" w14:textId="2E2A0736" w:rsidR="00861134" w:rsidRPr="00C77450" w:rsidRDefault="00861134" w:rsidP="00D3731D">
      <w:pPr>
        <w:spacing w:before="60" w:after="60" w:line="260" w:lineRule="auto"/>
        <w:ind w:left="360" w:hanging="360"/>
        <w:jc w:val="both"/>
        <w:rPr>
          <w:sz w:val="20"/>
          <w:szCs w:val="20"/>
          <w:vertAlign w:val="superscript"/>
          <w:lang w:val="es-VE"/>
        </w:rPr>
      </w:pPr>
      <w:r>
        <w:rPr>
          <w:b/>
          <w:bCs/>
        </w:rPr>
        <w:t>COMPROMISO DEL SNC</w:t>
      </w:r>
      <w:r>
        <w:t xml:space="preserve">. </w:t>
      </w:r>
      <w:r>
        <w:rPr>
          <w:sz w:val="20"/>
          <w:szCs w:val="20"/>
        </w:rPr>
        <w:t xml:space="preserve">Supervivencia mediana de 3.7 meses con terapias estándar. Ibrutinib es el único BTKi con penetración de la barrera hematoencefálica confirmada por farmacocinética plasma/LCR y respuestas objetivas documentadas. </w:t>
      </w:r>
      <w:r w:rsidRPr="00C77450">
        <w:rPr>
          <w:sz w:val="20"/>
          <w:szCs w:val="20"/>
          <w:lang w:val="es-VE"/>
        </w:rPr>
        <w:t>Opción prácticamente exclusiva en este escenario.</w:t>
      </w:r>
      <w:r w:rsidRPr="00C77450">
        <w:rPr>
          <w:sz w:val="20"/>
          <w:szCs w:val="20"/>
          <w:vertAlign w:val="superscript"/>
          <w:lang w:val="es-VE"/>
        </w:rPr>
        <w:t>6</w:t>
      </w:r>
    </w:p>
    <w:p w14:paraId="64FB903B" w14:textId="22926BC1" w:rsidR="003D6685" w:rsidRPr="00C77450" w:rsidRDefault="00D73E4E" w:rsidP="00D73E4E">
      <w:pPr>
        <w:spacing w:before="60" w:after="60" w:line="260" w:lineRule="auto"/>
        <w:ind w:left="360" w:hanging="360"/>
        <w:jc w:val="both"/>
        <w:rPr>
          <w:b/>
          <w:bCs/>
          <w:color w:val="444444"/>
          <w:sz w:val="18"/>
          <w:szCs w:val="18"/>
          <w:lang w:val="es-VE"/>
        </w:rPr>
      </w:pPr>
      <w:r w:rsidRPr="00C77450">
        <w:rPr>
          <w:b/>
          <w:bCs/>
          <w:color w:val="444444"/>
          <w:sz w:val="18"/>
          <w:szCs w:val="18"/>
          <w:lang w:val="es-VE"/>
        </w:rPr>
        <w:t>Bibliografía</w:t>
      </w:r>
    </w:p>
    <w:p w14:paraId="33B8A366" w14:textId="10872842" w:rsidR="00861134" w:rsidRPr="00BB65F3" w:rsidRDefault="00BB65F3" w:rsidP="00D3731D">
      <w:pPr>
        <w:spacing w:before="60" w:after="60" w:line="260" w:lineRule="auto"/>
        <w:ind w:left="360" w:hanging="360"/>
        <w:jc w:val="both"/>
        <w:rPr>
          <w:color w:val="444444"/>
          <w:sz w:val="18"/>
          <w:szCs w:val="18"/>
          <w:lang w:val="en-US"/>
        </w:rPr>
      </w:pPr>
      <w:r w:rsidRPr="00C77450">
        <w:rPr>
          <w:color w:val="444444"/>
          <w:sz w:val="18"/>
          <w:szCs w:val="18"/>
          <w:lang w:val="es-VE"/>
        </w:rPr>
        <w:t xml:space="preserve">1.Dreyling M, et al. </w:t>
      </w:r>
      <w:r>
        <w:rPr>
          <w:color w:val="444444"/>
          <w:sz w:val="18"/>
          <w:szCs w:val="18"/>
          <w:lang w:val="en-US"/>
        </w:rPr>
        <w:t>Ibrutinib combined with standard first-line treatment or as substitute for ASCT in younger MCL patients: Randomized Triangle trial. Lancet. 2024;403:2032-2042.</w:t>
      </w:r>
    </w:p>
    <w:p w14:paraId="4D61516D" w14:textId="77777777" w:rsidR="00861134" w:rsidRPr="00BB65F3" w:rsidRDefault="00861134" w:rsidP="00D3731D">
      <w:pPr>
        <w:spacing w:before="60" w:after="60" w:line="260" w:lineRule="auto"/>
        <w:ind w:left="360" w:hanging="360"/>
        <w:jc w:val="both"/>
        <w:rPr>
          <w:color w:val="444444"/>
          <w:sz w:val="18"/>
          <w:szCs w:val="18"/>
          <w:lang w:val="en-US"/>
        </w:rPr>
      </w:pPr>
      <w:r>
        <w:rPr>
          <w:color w:val="444444"/>
          <w:sz w:val="18"/>
          <w:szCs w:val="18"/>
          <w:lang w:val="en-US"/>
        </w:rPr>
        <w:t>2.  Wang ML, et al. Ibrutinib plus bendamustine and rituximab in untreated MCL (SHINE). N Engl J Med. 2022;386:2482-2494.</w:t>
      </w:r>
    </w:p>
    <w:p w14:paraId="297DA67B" w14:textId="77777777" w:rsidR="00861134" w:rsidRPr="00BB65F3" w:rsidRDefault="00861134" w:rsidP="00D3731D">
      <w:pPr>
        <w:spacing w:before="60" w:after="60" w:line="260" w:lineRule="auto"/>
        <w:ind w:left="360" w:hanging="360"/>
        <w:jc w:val="both"/>
        <w:rPr>
          <w:color w:val="444444"/>
          <w:sz w:val="18"/>
          <w:szCs w:val="18"/>
          <w:lang w:val="en-US"/>
        </w:rPr>
      </w:pPr>
      <w:r>
        <w:rPr>
          <w:color w:val="444444"/>
          <w:sz w:val="18"/>
          <w:szCs w:val="18"/>
          <w:lang w:val="en-US"/>
        </w:rPr>
        <w:t>3.  FDA CDER. Clinical Pharmacology Review: ibrutinib NDA 205552. BTK occupancy and exposure-response analysis. 2014.</w:t>
      </w:r>
    </w:p>
    <w:p w14:paraId="54687507" w14:textId="77777777" w:rsidR="00861134" w:rsidRPr="00BB65F3" w:rsidRDefault="00861134" w:rsidP="00D3731D">
      <w:pPr>
        <w:spacing w:before="60" w:after="60" w:line="260" w:lineRule="auto"/>
        <w:ind w:left="360" w:hanging="360"/>
        <w:jc w:val="both"/>
        <w:rPr>
          <w:color w:val="444444"/>
          <w:sz w:val="18"/>
          <w:szCs w:val="18"/>
          <w:lang w:val="en-US"/>
        </w:rPr>
      </w:pPr>
      <w:r>
        <w:rPr>
          <w:color w:val="444444"/>
          <w:sz w:val="18"/>
          <w:szCs w:val="18"/>
          <w:lang w:val="en-US"/>
        </w:rPr>
        <w:t>4.  Rule SA, et al. Long-term outcomes with ibrutinib in R/R MCL: pooled analysis ~10 years follow-up. Blood Cancer Journal. 2022;12:58.</w:t>
      </w:r>
    </w:p>
    <w:p w14:paraId="465E7E29" w14:textId="77777777" w:rsidR="00861134" w:rsidRPr="00BB65F3" w:rsidRDefault="00861134" w:rsidP="00D3731D">
      <w:pPr>
        <w:spacing w:before="60" w:after="60" w:line="260" w:lineRule="auto"/>
        <w:ind w:left="360" w:hanging="360"/>
        <w:jc w:val="both"/>
        <w:rPr>
          <w:color w:val="444444"/>
          <w:sz w:val="18"/>
          <w:szCs w:val="18"/>
          <w:lang w:val="en-US"/>
        </w:rPr>
      </w:pPr>
      <w:r>
        <w:rPr>
          <w:color w:val="444444"/>
          <w:sz w:val="18"/>
          <w:szCs w:val="18"/>
          <w:lang w:val="en-US"/>
        </w:rPr>
        <w:t>5.  Rule S, et al. Ibrutinib + venetoclax in R/R MCL: SYMPATICO phase 3. J Clin Oncol. 2025;43:255-264.</w:t>
      </w:r>
    </w:p>
    <w:p w14:paraId="321AC4F6" w14:textId="77777777" w:rsidR="00861134" w:rsidRPr="00BB65F3" w:rsidRDefault="00861134" w:rsidP="00D3731D">
      <w:pPr>
        <w:spacing w:before="60" w:after="60" w:line="260" w:lineRule="auto"/>
        <w:ind w:left="360" w:hanging="360"/>
        <w:jc w:val="both"/>
        <w:rPr>
          <w:color w:val="444444"/>
          <w:sz w:val="18"/>
          <w:szCs w:val="18"/>
          <w:lang w:val="en-US"/>
        </w:rPr>
      </w:pPr>
      <w:r>
        <w:rPr>
          <w:color w:val="444444"/>
          <w:sz w:val="18"/>
          <w:szCs w:val="18"/>
          <w:lang w:val="en-US"/>
        </w:rPr>
        <w:t>6.  Houillier C, et al. Activity of ibrutinib in MCL with CNS relapse. Blood. 2016;128:1984-1987.</w:t>
      </w:r>
    </w:p>
    <w:p w14:paraId="4802D195" w14:textId="77777777" w:rsidR="00861134" w:rsidRPr="00BB65F3" w:rsidRDefault="00861134" w:rsidP="00D3731D">
      <w:pPr>
        <w:spacing w:before="60" w:after="60" w:line="260" w:lineRule="auto"/>
        <w:ind w:left="360" w:hanging="360"/>
        <w:jc w:val="both"/>
        <w:rPr>
          <w:color w:val="444444"/>
          <w:sz w:val="18"/>
          <w:szCs w:val="18"/>
          <w:lang w:val="en-US"/>
        </w:rPr>
      </w:pPr>
      <w:r>
        <w:rPr>
          <w:color w:val="444444"/>
          <w:sz w:val="18"/>
          <w:szCs w:val="18"/>
          <w:lang w:val="en-US"/>
        </w:rPr>
        <w:t>7.  Wang M, et al. Acalabrutinib in R/R MCL (ACE-LY-004). Lancet. 2018;391:659-667.</w:t>
      </w:r>
    </w:p>
    <w:p w14:paraId="432367C6" w14:textId="29E9A212" w:rsidR="00BB65F3" w:rsidRDefault="00861134" w:rsidP="00D3731D">
      <w:pPr>
        <w:spacing w:before="60" w:after="60" w:line="260" w:lineRule="auto"/>
        <w:ind w:left="360" w:hanging="360"/>
        <w:jc w:val="both"/>
      </w:pPr>
      <w:r>
        <w:rPr>
          <w:color w:val="444444"/>
          <w:sz w:val="18"/>
          <w:szCs w:val="18"/>
          <w:lang w:val="en-US"/>
        </w:rPr>
        <w:t xml:space="preserve">8.  Tam CS, et al. Zanubrutinib for R/R MCL. </w:t>
      </w:r>
      <w:r>
        <w:rPr>
          <w:color w:val="444444"/>
          <w:sz w:val="18"/>
          <w:szCs w:val="18"/>
          <w:lang w:val="es-VE"/>
        </w:rPr>
        <w:t>Blood Advances. 2020;4:4893-4896.</w:t>
      </w:r>
      <w:bookmarkStart w:id="13" w:name="_heading=h.a5rekli9lt4h" w:colFirst="0" w:colLast="0"/>
      <w:bookmarkEnd w:id="13"/>
    </w:p>
    <w:p w14:paraId="0000003D" w14:textId="52CDFB02" w:rsidR="00205D31" w:rsidRPr="000C6123" w:rsidRDefault="00000000" w:rsidP="00D3731D">
      <w:pPr>
        <w:pStyle w:val="Ttulo2"/>
        <w:keepNext w:val="0"/>
        <w:keepLines w:val="0"/>
        <w:spacing w:after="80"/>
        <w:jc w:val="both"/>
        <w:rPr>
          <w:b/>
          <w:sz w:val="24"/>
          <w:szCs w:val="24"/>
        </w:rPr>
      </w:pPr>
      <w:r>
        <w:rPr>
          <w:b/>
          <w:sz w:val="24"/>
          <w:szCs w:val="24"/>
        </w:rPr>
        <w:t>3. TRATAMIENTO DE PRIMERA LÍNEA EN PACIENTES ADULTOS MAYORES</w:t>
      </w:r>
    </w:p>
    <w:p w14:paraId="0000003E" w14:textId="738A009C" w:rsidR="00205D31" w:rsidRDefault="00000000" w:rsidP="00D3731D">
      <w:pPr>
        <w:spacing w:before="240" w:after="240"/>
        <w:jc w:val="both"/>
      </w:pPr>
      <w:r>
        <w:rPr>
          <w:b/>
        </w:rPr>
        <w:t xml:space="preserve"> Dr. Alan Von Glasenapp (Paraguay), Dr. Carlos Fernando Gómez (Colombia), Dr. Henry Idrobo (Colombia), Dr. Juan Arriola (Argentina)</w:t>
      </w:r>
    </w:p>
    <w:p w14:paraId="0000003F" w14:textId="77777777" w:rsidR="00205D31" w:rsidRPr="000C6123" w:rsidRDefault="00000000" w:rsidP="00D3731D">
      <w:pPr>
        <w:pStyle w:val="Ttulo3"/>
        <w:keepNext w:val="0"/>
        <w:keepLines w:val="0"/>
        <w:spacing w:before="280"/>
        <w:jc w:val="both"/>
        <w:rPr>
          <w:b/>
          <w:color w:val="000000"/>
          <w:sz w:val="24"/>
          <w:szCs w:val="24"/>
        </w:rPr>
      </w:pPr>
      <w:bookmarkStart w:id="14" w:name="_heading=h.dgfzal65h3zl" w:colFirst="0" w:colLast="0"/>
      <w:bookmarkEnd w:id="14"/>
      <w:r>
        <w:rPr>
          <w:b/>
          <w:color w:val="000000"/>
          <w:sz w:val="24"/>
          <w:szCs w:val="24"/>
        </w:rPr>
        <w:t>3.1 ¿Es rituximab-bendamustina (RB) el régimen preferido en pacientes adultos mayores o no elegibles para trasplante?</w:t>
      </w:r>
    </w:p>
    <w:p w14:paraId="00000040" w14:textId="77777777" w:rsidR="00205D31" w:rsidRDefault="00000000" w:rsidP="00D3731D">
      <w:pPr>
        <w:spacing w:before="240" w:after="240"/>
        <w:jc w:val="both"/>
        <w:rPr>
          <w:i/>
        </w:rPr>
      </w:pPr>
      <w:sdt>
        <w:sdtPr>
          <w:rPr>
            <w:i/>
          </w:rPr>
          <w:tag w:val="goog_rdk_5"/>
          <w:id w:val="-1411732618"/>
        </w:sdtPr>
        <w:sdtContent>
          <w:r>
            <w:rPr>
              <w:i/>
            </w:rPr>
            <w:t xml:space="preserve">SÍ, LA QUIMIOINMUNOTERAPIA PERMANECE COMO LA ESTRATEGIA DE INDUCCIÓN PARA PACIENTES ADULTOS MAYORES. RITUXIMAB-BENDAMUSTINA (RB) ± INHIBIDOR DE BTK (ACALABRUTINIB O IBRUTINIB) ES UN RÉGIMEN ADECUADO PARA PACIENTES ≥65 AÑOS QUE NO SON CANDIDATOS A AUTO-TPH. RB SOLO (SIN BTKi) ES UNA OPCIÓN ACEPTABLE PERO INFERIOR. LA COMBINACIÓN LOGRA MEJORÍA SOSTENIDA DE SLP COMPARADO CON R-CHOP. ACALABRUTINIB ± BR FUE RECIENTEMENTE APROBADO POR LA FDA (ENERO 2025). DEBE SEGUIRSE DE ESTRATEGIA DE MANTENIMIENTO CON </w:t>
          </w:r>
        </w:sdtContent>
      </w:sdt>
      <w:r>
        <w:rPr>
          <w:i/>
        </w:rPr>
        <w:t>RITUXIMAB POR AL MENOS 2 AÑOS.</w:t>
      </w:r>
    </w:p>
    <w:p w14:paraId="00000041" w14:textId="77777777" w:rsidR="00205D31" w:rsidRDefault="00000000" w:rsidP="00D3731D">
      <w:pPr>
        <w:spacing w:before="240" w:after="240"/>
        <w:jc w:val="both"/>
      </w:pPr>
      <w:r>
        <w:rPr>
          <w:b/>
        </w:rPr>
        <w:t>Justificación</w:t>
      </w:r>
      <w:sdt>
        <w:sdtPr>
          <w:tag w:val="goog_rdk_6"/>
          <w:id w:val="-1435599399"/>
        </w:sdtPr>
        <w:sdtContent>
          <w:r>
            <w:rPr>
              <w:rFonts w:ascii="Arial Unicode MS" w:eastAsia="Arial Unicode MS" w:hAnsi="Arial Unicode MS" w:cs="Arial Unicode MS"/>
            </w:rPr>
            <w:t xml:space="preserve">. </w:t>
          </w:r>
          <w:r>
            <w:rPr>
              <w:sz w:val="20"/>
              <w:szCs w:val="20"/>
            </w:rPr>
            <w:t xml:space="preserve">El estudio SHINE demostró que ibrutinib más BR versus placebo más BR en pacientes ≥65 años mostró SLP mediana prolongada con resultados significativamente mejores. El estudio ECHO (acalabrutinib más BR) mostró SLP mediana de 66.4 meses versus 49.6 meses con placebo más BR (HR 0.73, p=0.016) con seguimiento de 49.8 meses. RB solo mostró SLP mediana de 35.4 meses versus R-CHOP 14.4 meses en estudios históricos. El estudio ENRICH mostró que el grupo con R-CHOP experimentó SLP más pobre (mediana ~26.6 meses) comparado con BR (~50.5 meses) o IR </w:t>
          </w:r>
          <w:r>
            <w:rPr>
              <w:sz w:val="20"/>
              <w:szCs w:val="20"/>
            </w:rPr>
            <w:lastRenderedPageBreak/>
            <w:t>(~65.3 meses). RB es menos mielosupresor que regímenes con citarabina, no requiere citarabina en altas dosis, es ideal para pacientes &gt;65-70 años con MIPI alto o Ki-67 &gt;30%, logra aproximadamente 60% SG a 5 años, tiene mejor perfil de toxicidad en población mayor, reduce hospitalizaciones y mejora calidad de vida. Menor toxicidad hematológica comparado con regímenes intensivos; no requiere hospitalización prolongada; bien tolerado en pacientes con comorbilidades; evidencia sólida de eficacia en población mayor; mejor calidad de vida comparado con quimioterapia intensiva; adición de BTKi mejora significativamente SLP.</w:t>
          </w:r>
        </w:sdtContent>
      </w:sdt>
    </w:p>
    <w:p w14:paraId="00000042" w14:textId="77777777" w:rsidR="00205D31" w:rsidRDefault="00000000" w:rsidP="00D3731D">
      <w:pPr>
        <w:spacing w:before="240" w:after="240"/>
        <w:jc w:val="both"/>
      </w:pPr>
      <w:r>
        <w:rPr>
          <w:b/>
        </w:rPr>
        <w:t>Declaración (1A).</w:t>
      </w:r>
      <w:sdt>
        <w:sdtPr>
          <w:tag w:val="goog_rdk_7"/>
          <w:id w:val="-1631738789"/>
        </w:sdtPr>
        <w:sdtContent>
          <w:r>
            <w:rPr>
              <w:rFonts w:ascii="Arial Unicode MS" w:eastAsia="Arial Unicode MS" w:hAnsi="Arial Unicode MS" w:cs="Arial Unicode MS"/>
            </w:rPr>
            <w:t xml:space="preserve"> </w:t>
          </w:r>
          <w:r>
            <w:rPr>
              <w:sz w:val="20"/>
              <w:szCs w:val="20"/>
            </w:rPr>
            <w:t>Recomendar rituximab-bendamustina más inhibidor de BTK (acalabrutinib o ibrutinib) como régimen de inducción estándar para pacientes ≥65 años o aquellos no elegibles para auto-TPH, seguido de mantenimiento con rituximab por al menos 2 años; RB solo sin BTKi es aceptable pero inferior</w:t>
          </w:r>
          <w:r>
            <w:rPr>
              <w:rFonts w:ascii="Arial Unicode MS" w:eastAsia="Arial Unicode MS" w:hAnsi="Arial Unicode MS" w:cs="Arial Unicode MS"/>
              <w:sz w:val="20"/>
              <w:szCs w:val="20"/>
            </w:rPr>
            <w:t>.</w:t>
          </w:r>
        </w:sdtContent>
      </w:sdt>
    </w:p>
    <w:p w14:paraId="00000043" w14:textId="77777777" w:rsidR="00205D31" w:rsidRPr="000C6123" w:rsidRDefault="00000000" w:rsidP="00D3731D">
      <w:pPr>
        <w:pStyle w:val="Ttulo3"/>
        <w:keepNext w:val="0"/>
        <w:keepLines w:val="0"/>
        <w:spacing w:before="280"/>
        <w:jc w:val="both"/>
        <w:rPr>
          <w:b/>
          <w:color w:val="000000"/>
          <w:sz w:val="24"/>
          <w:szCs w:val="24"/>
        </w:rPr>
      </w:pPr>
      <w:bookmarkStart w:id="15" w:name="_heading=h.fuebzldlyusi" w:colFirst="0" w:colLast="0"/>
      <w:bookmarkEnd w:id="15"/>
      <w:r>
        <w:rPr>
          <w:b/>
          <w:color w:val="000000"/>
          <w:sz w:val="24"/>
          <w:szCs w:val="24"/>
        </w:rPr>
        <w:t>3.2 En pacientes adultos mayores aptos, ¿la incorporación de citarabina hace una diferencia?</w:t>
      </w:r>
    </w:p>
    <w:p w14:paraId="00000044" w14:textId="77777777" w:rsidR="00205D31" w:rsidRPr="0082451B" w:rsidRDefault="00000000" w:rsidP="00D3731D">
      <w:pPr>
        <w:spacing w:before="240" w:after="240"/>
        <w:jc w:val="both"/>
        <w:rPr>
          <w:i/>
          <w:iCs/>
        </w:rPr>
      </w:pPr>
      <w:r>
        <w:rPr>
          <w:i/>
          <w:iCs/>
        </w:rPr>
        <w:t>SÍ, LA INCORPORACIÓN DE CITARABINA EN DOSIS INTERMEDIAS/BAJAS EN PACIENTES ADULTOS MAYORES APTOS Y SELECCIONADOS (60-75 AÑOS) PUEDE MEJORAR LA TASA DE RESPUESTA COMPLETA Y LA SUPERVIVENCIA LIBRE DE PROGRESIÓN. R-BAC ES MEJOR OPCIÓN EN TÉRMINOS DE EFICACIA PARA PACIENTES MAYORES APTOS. DEBE UTILIZARSE CON PRECAUCIÓN Y SELECCIÓN APROPIADA DE PACIENTES. SEGÚN CRITERIO CLÍNICO, PUEDE OMITIRSE LA DOSIS DE CITARABINA DEL DÍA 3 SIN COMPROMETER RESULTADOS. LA CITARABINA MEJORA TRG, SLP Y SG PERO AUMENTA TOXICIDAD. LA SELECCIÓN CUIDADOSA DEL PACIENTE MEDIANTE EVALUACIÓN DEL ESTADO FUNCIONAL Y COMORBILIDADES ES ESENCIAL PARA OPTIMIZAR EL BALANCE RIESGO-BENEFICIO.</w:t>
      </w:r>
    </w:p>
    <w:p w14:paraId="00000045" w14:textId="77777777" w:rsidR="00205D31" w:rsidRPr="00172E82" w:rsidRDefault="00000000" w:rsidP="00D3731D">
      <w:pPr>
        <w:spacing w:before="240" w:after="240"/>
        <w:jc w:val="both"/>
        <w:rPr>
          <w:sz w:val="20"/>
          <w:szCs w:val="20"/>
        </w:rPr>
      </w:pPr>
      <w:r>
        <w:rPr>
          <w:b/>
        </w:rPr>
        <w:t>Justificación</w:t>
      </w:r>
      <w:r>
        <w:t xml:space="preserve">. </w:t>
      </w:r>
      <w:r>
        <w:rPr>
          <w:sz w:val="20"/>
          <w:szCs w:val="20"/>
        </w:rPr>
        <w:t>R-BAC 500 (Rituximab 375 mg/m² día 1, Bendamustina 70 mg/m² días 2-3, Citarabina 500 mg/m² días 2-4) SIN mantenimiento logró 91% RC con SLP a 7 años de 55% y SG a 7 años de 63% en seguimiento a largo plazo del estudio fase 2 de Fondazione Italiana Linfomi (FIL). Estudio retrospectivo observacional de vida real (propensity score) de R-BAC500 versus R-bendamustina mostró RC 91% versus 60%, SLP a 2 años 87% versus 64%, SG mediana 121 versus 78 meses (p=0.08), con aumento de efectividad al costo de mayor toxicidad hematológica (trombocitopenia severa); 50% de pacientes tuvo reducción de dosis de ARA-C (mayormente omisión del día 3) sin comprometer efectividad. Regímenes con citarabina versus sin citarabina (3 estudios) mostraron TRG de 85.9% versus 65.7% (p=0.007), 70% versus 33% (p&lt;0.001), y 85% versus 77%; beneficio en SLP/SLE con 4 de 5 estudios mostrando beneficio con citarabina; beneficio en SG con 3 de 4 estudios mostrando beneficio con citarabina. La toxicidad fue mayor hematológica y renal G3/4 con citarabina. Superioridad demostrada de R-BAC 500 versus R-bendamustina en resultados; citarabina es agente activo en LCM; toxicidad incrementada pero manejable en población seleccionada APTA; posibilidad de ajuste de dosis (omitir día 3) permite balance beneficio-toxicidad.</w:t>
      </w:r>
    </w:p>
    <w:p w14:paraId="00000046" w14:textId="77777777" w:rsidR="00205D31" w:rsidRDefault="00000000" w:rsidP="00D3731D">
      <w:pPr>
        <w:spacing w:before="240" w:after="240"/>
        <w:jc w:val="both"/>
      </w:pPr>
      <w:r>
        <w:rPr>
          <w:b/>
        </w:rPr>
        <w:t>Declaración (1B).</w:t>
      </w:r>
      <w:r>
        <w:t xml:space="preserve"> </w:t>
      </w:r>
      <w:r>
        <w:rPr>
          <w:sz w:val="20"/>
          <w:szCs w:val="20"/>
        </w:rPr>
        <w:t>Considerar incorporación de citarabina en dosis intermedias (régimen R-BAC 500) en pacientes adultos mayores aptos y seleccionados (60-75 años) para mejorar tasas de respuesta y resultados de supervivencia; el ajuste de dosis omitiendo citarabina del día 3 es aceptable cuando sea necesario para manejar toxicidad sin comprometer efectividad.</w:t>
      </w:r>
    </w:p>
    <w:p w14:paraId="00000047" w14:textId="77777777" w:rsidR="00205D31" w:rsidRPr="002E0830" w:rsidRDefault="00000000" w:rsidP="00D3731D">
      <w:pPr>
        <w:spacing w:before="60" w:after="60" w:line="260" w:lineRule="auto"/>
        <w:ind w:left="360" w:hanging="360"/>
        <w:jc w:val="both"/>
        <w:rPr>
          <w:b/>
          <w:bCs/>
          <w:color w:val="444444"/>
          <w:sz w:val="18"/>
          <w:szCs w:val="18"/>
          <w:lang w:val="en-US"/>
        </w:rPr>
      </w:pPr>
      <w:r>
        <w:rPr>
          <w:b/>
          <w:bCs/>
          <w:color w:val="444444"/>
          <w:sz w:val="18"/>
          <w:szCs w:val="18"/>
          <w:lang w:val="en-US"/>
        </w:rPr>
        <w:t xml:space="preserve">Bibliografia </w:t>
      </w:r>
    </w:p>
    <w:p w14:paraId="00000048" w14:textId="77777777" w:rsidR="00205D31" w:rsidRPr="002E0830" w:rsidRDefault="00000000" w:rsidP="00D3731D">
      <w:pPr>
        <w:spacing w:before="60" w:after="60" w:line="260" w:lineRule="auto"/>
        <w:ind w:left="360" w:hanging="360"/>
        <w:jc w:val="both"/>
        <w:rPr>
          <w:color w:val="444444"/>
          <w:sz w:val="18"/>
          <w:szCs w:val="18"/>
          <w:lang w:val="en-US"/>
        </w:rPr>
      </w:pPr>
      <w:r>
        <w:rPr>
          <w:lang w:val="en-US"/>
        </w:rPr>
        <w:t>1</w:t>
      </w:r>
      <w:r>
        <w:rPr>
          <w:color w:val="444444"/>
          <w:sz w:val="18"/>
          <w:szCs w:val="18"/>
          <w:lang w:val="en-US"/>
        </w:rPr>
        <w:t>.Abel, G. A. &amp; Klepin, H. D. Frailty and the management of hematologic malignancies. Blood 131, 515–524 (2018).</w:t>
      </w:r>
    </w:p>
    <w:p w14:paraId="00000049" w14:textId="77777777" w:rsidR="00205D31" w:rsidRPr="002E0830" w:rsidRDefault="00000000" w:rsidP="00D3731D">
      <w:pPr>
        <w:spacing w:before="60" w:after="60" w:line="260" w:lineRule="auto"/>
        <w:ind w:left="360" w:hanging="360"/>
        <w:jc w:val="both"/>
        <w:rPr>
          <w:color w:val="444444"/>
          <w:sz w:val="18"/>
          <w:szCs w:val="18"/>
          <w:lang w:val="en-US"/>
        </w:rPr>
      </w:pPr>
      <w:r>
        <w:rPr>
          <w:color w:val="444444"/>
          <w:sz w:val="18"/>
          <w:szCs w:val="18"/>
          <w:lang w:val="en-US"/>
        </w:rPr>
        <w:lastRenderedPageBreak/>
        <w:t>2.Scheepers, E. R. M. et al. Geriatric assessment in older patients with a hematologic malignancy: a systematic review. Haematologica 105, 1484–1493 (2020).</w:t>
      </w:r>
    </w:p>
    <w:p w14:paraId="0000004A" w14:textId="21CE81A2" w:rsidR="00205D31" w:rsidRPr="002E0830" w:rsidRDefault="00000000" w:rsidP="00D3731D">
      <w:pPr>
        <w:spacing w:before="60" w:after="60" w:line="260" w:lineRule="auto"/>
        <w:ind w:left="360" w:hanging="360"/>
        <w:jc w:val="both"/>
        <w:rPr>
          <w:color w:val="444444"/>
          <w:sz w:val="18"/>
          <w:szCs w:val="18"/>
          <w:lang w:val="en-US"/>
        </w:rPr>
      </w:pPr>
      <w:r>
        <w:rPr>
          <w:color w:val="444444"/>
          <w:sz w:val="18"/>
          <w:szCs w:val="18"/>
          <w:lang w:val="en-US"/>
        </w:rPr>
        <w:t>3.DuMontier, C. et al. Function, Survival, and Care Utilization Among Older Adults with Hematologic Malignancies. J Am Geriatr Soc 67, 889–897 (2019).</w:t>
      </w:r>
    </w:p>
    <w:p w14:paraId="0000004B" w14:textId="34C12E25" w:rsidR="00205D31" w:rsidRPr="002E0830" w:rsidRDefault="00000000" w:rsidP="00D3731D">
      <w:pPr>
        <w:spacing w:before="60" w:after="60" w:line="260" w:lineRule="auto"/>
        <w:ind w:left="360" w:hanging="360"/>
        <w:jc w:val="both"/>
        <w:rPr>
          <w:color w:val="444444"/>
          <w:sz w:val="18"/>
          <w:szCs w:val="18"/>
          <w:lang w:val="en-US"/>
        </w:rPr>
      </w:pPr>
      <w:r>
        <w:rPr>
          <w:color w:val="444444"/>
          <w:sz w:val="18"/>
          <w:szCs w:val="18"/>
          <w:lang w:val="en-US"/>
        </w:rPr>
        <w:t>4.Visco, C. et al. Rituximab, bendamustine, and low dose cytarabine as induction therapy in elderly patients with mantle cell lymphoma: a multicentre, phase 2 trial from Fondazione Italiana Linfomi. Lancet Haematol 4, e15–e23 (2017).</w:t>
      </w:r>
    </w:p>
    <w:p w14:paraId="0000004C" w14:textId="77777777" w:rsidR="00205D31" w:rsidRPr="002E0830" w:rsidRDefault="00000000" w:rsidP="00D3731D">
      <w:pPr>
        <w:spacing w:before="60" w:after="60" w:line="260" w:lineRule="auto"/>
        <w:ind w:left="360" w:hanging="360"/>
        <w:jc w:val="both"/>
        <w:rPr>
          <w:color w:val="444444"/>
          <w:sz w:val="18"/>
          <w:szCs w:val="18"/>
          <w:lang w:val="en-US"/>
        </w:rPr>
      </w:pPr>
      <w:r>
        <w:rPr>
          <w:color w:val="444444"/>
          <w:sz w:val="18"/>
          <w:szCs w:val="18"/>
          <w:lang w:val="en-US"/>
        </w:rPr>
        <w:t>5.Pease, D. F. &amp; Morrison, V. A. Treatment of mantle cell lymphoma in older adults. Journal of Geriatric Oncology 9, 308–314 (2018).</w:t>
      </w:r>
    </w:p>
    <w:p w14:paraId="0000004D" w14:textId="77777777" w:rsidR="00205D31" w:rsidRPr="002E0830" w:rsidRDefault="00000000" w:rsidP="00D3731D">
      <w:pPr>
        <w:spacing w:before="60" w:after="60" w:line="260" w:lineRule="auto"/>
        <w:ind w:left="360" w:hanging="360"/>
        <w:jc w:val="both"/>
        <w:rPr>
          <w:color w:val="444444"/>
          <w:sz w:val="18"/>
          <w:szCs w:val="18"/>
          <w:lang w:val="en-US"/>
        </w:rPr>
      </w:pPr>
      <w:r>
        <w:rPr>
          <w:color w:val="444444"/>
          <w:sz w:val="18"/>
          <w:szCs w:val="18"/>
          <w:lang w:val="en-US"/>
        </w:rPr>
        <w:t>6.de Pádua Covas Lage, L. A. et al. Up-Front ASCT Overcomes the Survival Benefit Provided by HDAC-Based Induction Regimens in Mantle Cell Lymphoma: Data from a Real-Life and Long-Term Cohort. Cancers (Basel) 15, 4759 (2023).</w:t>
      </w:r>
    </w:p>
    <w:p w14:paraId="0000004E" w14:textId="77777777" w:rsidR="00205D31" w:rsidRPr="002E0830" w:rsidRDefault="00000000" w:rsidP="00D3731D">
      <w:pPr>
        <w:spacing w:before="60" w:after="60" w:line="260" w:lineRule="auto"/>
        <w:ind w:left="360" w:hanging="360"/>
        <w:jc w:val="both"/>
        <w:rPr>
          <w:color w:val="444444"/>
          <w:sz w:val="18"/>
          <w:szCs w:val="18"/>
          <w:lang w:val="en-US"/>
        </w:rPr>
      </w:pPr>
      <w:r>
        <w:rPr>
          <w:color w:val="444444"/>
          <w:sz w:val="18"/>
          <w:szCs w:val="18"/>
          <w:lang w:val="en-US"/>
        </w:rPr>
        <w:t>7.Ratnasingam, S. et al. Cytarabine-based induction immunochemotherapy in the front-line treatment of older patients with mantle cell lymphoma. Sci Rep 9, 13544 (2019).</w:t>
      </w:r>
    </w:p>
    <w:p w14:paraId="0000004F" w14:textId="77777777" w:rsidR="00205D31" w:rsidRPr="002E0830" w:rsidRDefault="00000000" w:rsidP="00D3731D">
      <w:pPr>
        <w:spacing w:before="60" w:after="60" w:line="260" w:lineRule="auto"/>
        <w:ind w:left="360" w:hanging="360"/>
        <w:jc w:val="both"/>
        <w:rPr>
          <w:color w:val="444444"/>
          <w:sz w:val="18"/>
          <w:szCs w:val="18"/>
          <w:lang w:val="en-US"/>
        </w:rPr>
      </w:pPr>
      <w:r>
        <w:rPr>
          <w:color w:val="444444"/>
          <w:sz w:val="18"/>
          <w:szCs w:val="18"/>
          <w:lang w:val="en-US"/>
        </w:rPr>
        <w:t>8.Sorigue, M. et al. [Mantle cell lymphoma, response to treatment and prognosis in 45 patients]. Med Clin (Barc) 147, 18–21 (2016).</w:t>
      </w:r>
    </w:p>
    <w:p w14:paraId="00000050" w14:textId="73067620" w:rsidR="00205D31" w:rsidRPr="00715E69" w:rsidRDefault="00000000" w:rsidP="00D3731D">
      <w:pPr>
        <w:spacing w:before="60" w:after="60" w:line="260" w:lineRule="auto"/>
        <w:ind w:left="360" w:hanging="360"/>
        <w:jc w:val="both"/>
        <w:rPr>
          <w:color w:val="444444"/>
          <w:sz w:val="18"/>
          <w:szCs w:val="18"/>
          <w:lang w:val="en-US"/>
        </w:rPr>
      </w:pPr>
      <w:r>
        <w:rPr>
          <w:color w:val="444444"/>
          <w:sz w:val="18"/>
          <w:szCs w:val="18"/>
          <w:lang w:val="en-US"/>
        </w:rPr>
        <w:t>9.Karmali, R. et al. multi-center analysis of practice patterns and outcomes of younger and older patients with mantle cell lymphoma in the rituximab era. Am J Hematol 96, 1374–1384 (2021).</w:t>
      </w:r>
    </w:p>
    <w:p w14:paraId="00000051" w14:textId="77777777" w:rsidR="00205D31" w:rsidRPr="00715E69" w:rsidRDefault="00000000" w:rsidP="00D3731D">
      <w:pPr>
        <w:spacing w:before="60" w:after="60" w:line="260" w:lineRule="auto"/>
        <w:ind w:left="360" w:hanging="360"/>
        <w:jc w:val="both"/>
        <w:rPr>
          <w:color w:val="444444"/>
          <w:sz w:val="18"/>
          <w:szCs w:val="18"/>
          <w:lang w:val="en-US"/>
        </w:rPr>
      </w:pPr>
      <w:r>
        <w:rPr>
          <w:color w:val="444444"/>
          <w:sz w:val="18"/>
          <w:szCs w:val="18"/>
          <w:lang w:val="en-US"/>
        </w:rPr>
        <w:t>10.Hermine, O. et al. Addition of high-dose cytarabine to immunochemotherapy before autologous stem-cell transplantation in patients aged 65 years or younger with mantle cell lymphoma (MCL Younger): a randomised, open-label, phase 3 trial of the European Mantle Cell Lymphoma Network. Lancet 388, 565–575 (2016).</w:t>
      </w:r>
    </w:p>
    <w:p w14:paraId="00000052" w14:textId="77777777" w:rsidR="00205D31" w:rsidRPr="00715E69" w:rsidRDefault="00000000" w:rsidP="00D3731D">
      <w:pPr>
        <w:spacing w:before="60" w:after="60" w:line="260" w:lineRule="auto"/>
        <w:ind w:left="360" w:hanging="360"/>
        <w:jc w:val="both"/>
        <w:rPr>
          <w:color w:val="444444"/>
          <w:sz w:val="18"/>
          <w:szCs w:val="18"/>
          <w:lang w:val="en-US"/>
        </w:rPr>
      </w:pPr>
      <w:r>
        <w:rPr>
          <w:color w:val="444444"/>
          <w:sz w:val="18"/>
          <w:szCs w:val="18"/>
          <w:lang w:val="en-US"/>
        </w:rPr>
        <w:t>11.Wang, M. L. et al. Ibrutinib plus Bendamustine and Rituximab in Untreated Mantle-Cell Lymphoma. New England Journal of Medicine 386, 2482–2494 (2022).</w:t>
      </w:r>
    </w:p>
    <w:p w14:paraId="00000053" w14:textId="77777777" w:rsidR="00205D31" w:rsidRPr="00715E69" w:rsidRDefault="00000000" w:rsidP="00D3731D">
      <w:pPr>
        <w:spacing w:before="60" w:after="60" w:line="260" w:lineRule="auto"/>
        <w:ind w:left="360" w:hanging="360"/>
        <w:jc w:val="both"/>
        <w:rPr>
          <w:color w:val="444444"/>
          <w:sz w:val="18"/>
          <w:szCs w:val="18"/>
          <w:lang w:val="en-US"/>
        </w:rPr>
      </w:pPr>
      <w:r>
        <w:rPr>
          <w:color w:val="444444"/>
          <w:sz w:val="18"/>
          <w:szCs w:val="18"/>
          <w:lang w:val="en-US"/>
        </w:rPr>
        <w:t>12.Vuyyala, S. &amp; Phillips, T. J. Older patients with mantle cell lymphoma: initial and subsequent therapies—a narrative review. Annals of Lymphoma 6, (2022).</w:t>
      </w:r>
    </w:p>
    <w:p w14:paraId="00000054" w14:textId="77777777" w:rsidR="00205D31" w:rsidRPr="00715E69" w:rsidRDefault="00000000" w:rsidP="00D3731D">
      <w:pPr>
        <w:spacing w:before="60" w:after="60" w:line="260" w:lineRule="auto"/>
        <w:ind w:left="360" w:hanging="360"/>
        <w:jc w:val="both"/>
        <w:rPr>
          <w:color w:val="444444"/>
          <w:sz w:val="18"/>
          <w:szCs w:val="18"/>
          <w:lang w:val="en-US"/>
        </w:rPr>
      </w:pPr>
      <w:r>
        <w:rPr>
          <w:color w:val="444444"/>
          <w:sz w:val="18"/>
          <w:szCs w:val="18"/>
          <w:lang w:val="en-US"/>
        </w:rPr>
        <w:t>13.Alnassfan, T., Cox-Pridmore, M. J., Taktak, A. &amp; Till, K. J. Mantle cell lymphoma treatment options for elderly/unfit patients: A systematic review. EJHaem 3, 276–290 (2022).</w:t>
      </w:r>
    </w:p>
    <w:p w14:paraId="5C7AE56F" w14:textId="54E28073" w:rsidR="005F3807" w:rsidRPr="00A87132" w:rsidRDefault="00000000" w:rsidP="00D3731D">
      <w:pPr>
        <w:spacing w:before="60" w:after="60" w:line="260" w:lineRule="auto"/>
        <w:ind w:left="360" w:hanging="360"/>
        <w:jc w:val="both"/>
        <w:rPr>
          <w:color w:val="444444"/>
          <w:sz w:val="18"/>
          <w:szCs w:val="18"/>
          <w:lang w:val="es-VE"/>
        </w:rPr>
      </w:pPr>
      <w:r>
        <w:rPr>
          <w:color w:val="444444"/>
          <w:sz w:val="18"/>
          <w:szCs w:val="18"/>
          <w:lang w:val="en-US"/>
        </w:rPr>
        <w:t xml:space="preserve">14.Wang, M. L. et al. S209: PRIMARY RESULTS FROM THE PHASE 3 SHINE STUDY OF IBRUTINIB IN COMBINATION WITH BENDAMUSTINE-RITUXIMAB (BR) AND R MAINTENANCE AS A FIRST-LINE TREATMENT FOR OLDER PATIENTS WITH MANTLE-CELL LYMPHOMA. </w:t>
      </w:r>
      <w:r>
        <w:rPr>
          <w:color w:val="444444"/>
          <w:sz w:val="18"/>
          <w:szCs w:val="18"/>
          <w:lang w:val="es-VE"/>
        </w:rPr>
        <w:t>HemaSphere 6, 110 (2022).</w:t>
      </w:r>
    </w:p>
    <w:p w14:paraId="00000057" w14:textId="77777777" w:rsidR="00205D31" w:rsidRPr="00A87132" w:rsidRDefault="00205D31" w:rsidP="00D3731D">
      <w:pPr>
        <w:spacing w:before="60" w:after="60" w:line="260" w:lineRule="auto"/>
        <w:ind w:left="360" w:hanging="360"/>
        <w:jc w:val="both"/>
        <w:rPr>
          <w:lang w:val="es-VE"/>
        </w:rPr>
      </w:pPr>
    </w:p>
    <w:p w14:paraId="00000058" w14:textId="77777777" w:rsidR="00205D31" w:rsidRPr="000C6123" w:rsidRDefault="00000000" w:rsidP="00D3731D">
      <w:pPr>
        <w:jc w:val="both"/>
        <w:rPr>
          <w:b/>
          <w:sz w:val="24"/>
          <w:szCs w:val="24"/>
          <w:lang w:val="es-PE"/>
        </w:rPr>
      </w:pPr>
      <w:r>
        <w:rPr>
          <w:b/>
          <w:sz w:val="24"/>
          <w:szCs w:val="24"/>
          <w:lang w:val="es-PE"/>
        </w:rPr>
        <w:t>4. CLASIFICACIÓN Y TRATAMIENTO DE SUBTIPOS AGRESIVOS</w:t>
      </w:r>
    </w:p>
    <w:p w14:paraId="00000059" w14:textId="10D34BEA" w:rsidR="00205D31" w:rsidRDefault="00000000" w:rsidP="00D3731D">
      <w:pPr>
        <w:spacing w:before="240" w:after="240"/>
        <w:jc w:val="both"/>
      </w:pPr>
      <w:r>
        <w:rPr>
          <w:b/>
          <w:lang w:val="es-PE"/>
        </w:rPr>
        <w:t xml:space="preserve">Dra. </w:t>
      </w:r>
      <w:r>
        <w:rPr>
          <w:b/>
        </w:rPr>
        <w:t>Carolina Oliver (Uruguay), Dra. Matilde Chinchia (Colombia), Dra. Pili León (Colombia), Dr. Enrique Díaz (USA)</w:t>
      </w:r>
    </w:p>
    <w:p w14:paraId="0000005A" w14:textId="77777777" w:rsidR="00205D31" w:rsidRPr="000C6123" w:rsidRDefault="00000000" w:rsidP="00D3731D">
      <w:pPr>
        <w:pStyle w:val="Ttulo3"/>
        <w:keepNext w:val="0"/>
        <w:keepLines w:val="0"/>
        <w:spacing w:before="280"/>
        <w:jc w:val="both"/>
        <w:rPr>
          <w:b/>
          <w:color w:val="000000"/>
          <w:sz w:val="24"/>
          <w:szCs w:val="24"/>
        </w:rPr>
      </w:pPr>
      <w:bookmarkStart w:id="16" w:name="_heading=h.468zog5gsmhv" w:colFirst="0" w:colLast="0"/>
      <w:bookmarkEnd w:id="16"/>
      <w:r>
        <w:rPr>
          <w:b/>
          <w:color w:val="000000"/>
          <w:sz w:val="24"/>
          <w:szCs w:val="24"/>
        </w:rPr>
        <w:t>4.1 ¿Cuáles son los criterios para clasificar LCM como alto riesgo al debut?</w:t>
      </w:r>
    </w:p>
    <w:p w14:paraId="0000005B" w14:textId="77777777" w:rsidR="00205D31" w:rsidRPr="00172E82" w:rsidRDefault="00000000" w:rsidP="00D3731D">
      <w:pPr>
        <w:spacing w:before="240" w:after="240"/>
        <w:jc w:val="both"/>
        <w:rPr>
          <w:i/>
          <w:iCs/>
        </w:rPr>
      </w:pPr>
      <w:sdt>
        <w:sdtPr>
          <w:tag w:val="goog_rdk_8"/>
          <w:id w:val="-588066839"/>
        </w:sdtPr>
        <w:sdtEndPr>
          <w:rPr>
            <w:i/>
            <w:iCs/>
          </w:rPr>
        </w:sdtEndPr>
        <w:sdtContent>
          <w:r>
            <w:rPr>
              <w:i/>
              <w:iCs/>
            </w:rPr>
            <w:t>LOS CRITERIOS DE ALTO RIESGO AL DEBUT INCLUYEN: HISTOLOGÍA BLASTOIDE/PLEOMÓRFICA, Ki-67 ≥50%, MUTACIÓN DE TP53 Y/O del(17p) POR FISH, SOBREEXPRESIÓN DE TP53 POR IHQ, CARIOTIPO COMPLEJO, REORDENAMIENTO/AMPLIFICACIÓN DE MYC, PUNTUACIÓN MIPI SIMPLIFICADA ≥6.2, Y ENFERMEDAD VOLUMINOSA.</w:t>
          </w:r>
        </w:sdtContent>
      </w:sdt>
    </w:p>
    <w:p w14:paraId="0000005C" w14:textId="04BFB663" w:rsidR="00205D31" w:rsidRPr="00172E82" w:rsidRDefault="00000000" w:rsidP="00D3731D">
      <w:pPr>
        <w:spacing w:before="240" w:after="240"/>
        <w:jc w:val="both"/>
        <w:rPr>
          <w:sz w:val="20"/>
          <w:szCs w:val="20"/>
        </w:rPr>
      </w:pPr>
      <w:r>
        <w:rPr>
          <w:b/>
        </w:rPr>
        <w:t>Justificación</w:t>
      </w:r>
      <w:r>
        <w:t xml:space="preserve">: </w:t>
      </w:r>
      <w:r>
        <w:rPr>
          <w:sz w:val="20"/>
          <w:szCs w:val="20"/>
        </w:rPr>
        <w:t>Múltiples factores han sido identificados con impacto pronóstico adverso; la estratificación permite guiar intensidad terapéutica; el alto riesgo se asocia con menor respuesta a quimioterapia estándar. La identificación de alto riesgo permite intensificación terapéutica; estos factores predicen menor respuesta a tratamiento estándar; guían hacia estrategias alternativas (“chemo-free”, CAR-T temprano); permiten estratificación en ensayos clínicos.</w:t>
      </w:r>
    </w:p>
    <w:p w14:paraId="0000005E" w14:textId="663C8F72" w:rsidR="00205D31" w:rsidRDefault="00000000" w:rsidP="00D3731D">
      <w:pPr>
        <w:spacing w:before="240" w:after="240"/>
        <w:jc w:val="both"/>
      </w:pPr>
      <w:r>
        <w:rPr>
          <w:b/>
        </w:rPr>
        <w:t>Declaración (2C):</w:t>
      </w:r>
      <w:sdt>
        <w:sdtPr>
          <w:rPr>
            <w:sz w:val="20"/>
            <w:szCs w:val="20"/>
          </w:rPr>
          <w:tag w:val="goog_rdk_9"/>
          <w:id w:val="-1875824138"/>
        </w:sdtPr>
        <w:sdtContent>
          <w:r>
            <w:rPr>
              <w:rFonts w:ascii="Arial Unicode MS" w:eastAsia="Arial Unicode MS" w:hAnsi="Arial Unicode MS" w:cs="Arial Unicode MS"/>
              <w:sz w:val="20"/>
              <w:szCs w:val="20"/>
            </w:rPr>
            <w:t xml:space="preserve"> </w:t>
          </w:r>
          <w:r>
            <w:rPr>
              <w:sz w:val="20"/>
              <w:szCs w:val="20"/>
            </w:rPr>
            <w:t xml:space="preserve">Clasificar LCM como alto riesgo al debut cuando esté presente cualquiera de lo siguiente (esto significa que la presencia de uno solo hace que la enfermedad sea de alto riesgo?) : histología blastoide/pleomórfica, Ki-67 ≥50%, mutación de TP53 y/o del(17p), sobreexpresión de TP53 </w:t>
          </w:r>
          <w:r>
            <w:rPr>
              <w:sz w:val="20"/>
              <w:szCs w:val="20"/>
            </w:rPr>
            <w:lastRenderedPageBreak/>
            <w:t xml:space="preserve">por IHQ ≥50% de las células,, cariotipo complejo, reordenamiento/amplificación de MYC, MIPI simplificado ≥6.2, o enfermedad voluminosa; usar esta clasificación para guiar intensidad terapéutica e inclusión en ensayos </w:t>
          </w:r>
        </w:sdtContent>
      </w:sdt>
      <w:r>
        <w:rPr>
          <w:sz w:val="20"/>
          <w:szCs w:val="20"/>
        </w:rPr>
        <w:t>clínicos.</w:t>
      </w:r>
    </w:p>
    <w:p w14:paraId="0000005F" w14:textId="77777777" w:rsidR="00205D31" w:rsidRPr="000C6123" w:rsidRDefault="00000000" w:rsidP="00D3731D">
      <w:pPr>
        <w:pStyle w:val="Ttulo3"/>
        <w:keepNext w:val="0"/>
        <w:keepLines w:val="0"/>
        <w:spacing w:before="280"/>
        <w:jc w:val="both"/>
        <w:rPr>
          <w:b/>
          <w:color w:val="000000"/>
          <w:sz w:val="24"/>
          <w:szCs w:val="24"/>
        </w:rPr>
      </w:pPr>
      <w:bookmarkStart w:id="17" w:name="_heading=h.hkpv6dt42qfy" w:colFirst="0" w:colLast="0"/>
      <w:bookmarkEnd w:id="17"/>
      <w:r>
        <w:rPr>
          <w:b/>
          <w:color w:val="000000"/>
          <w:sz w:val="24"/>
          <w:szCs w:val="24"/>
        </w:rPr>
        <w:t>4.2 ¿Pacientes TP53-positivos se benefician de regímenes “chemo-free” (dobletes/tripletes)? ¿Qué duración? ¿Debe realizarse monitoreo sistemático de TP53 en recaída?</w:t>
      </w:r>
    </w:p>
    <w:p w14:paraId="00000060" w14:textId="77777777" w:rsidR="00205D31" w:rsidRDefault="00205D31" w:rsidP="00D3731D">
      <w:pPr>
        <w:jc w:val="both"/>
      </w:pPr>
    </w:p>
    <w:p w14:paraId="00000061" w14:textId="7877AA94" w:rsidR="00205D31" w:rsidRPr="00CA1D63" w:rsidRDefault="00000000" w:rsidP="00D3731D">
      <w:pPr>
        <w:jc w:val="both"/>
        <w:rPr>
          <w:i/>
          <w:iCs/>
        </w:rPr>
      </w:pPr>
      <w:r>
        <w:rPr>
          <w:i/>
          <w:iCs/>
        </w:rPr>
        <w:t xml:space="preserve">Si, FRENTE ALTERACIONES DE TP53, SE RECOMIENDA FAVORECER TRATAMIENTOS DE COMBINACIÓN CON INHIBIDORES DE BTK (BTKi) SOBRE LA QUIMIOTERAPIA CONVENCIONAL. El AUTO-TPH ESTÁNDAR EN PACIENTES P53 MUTADOS NO MEJORA EL PRONOSTICO.QUIMIOTERAPIA MAS BTKi PODRIA SEGUIR TENIENDO ALGUN PAPEL. </w:t>
      </w:r>
      <w:r>
        <w:rPr>
          <w:i/>
          <w:iCs/>
          <w:vertAlign w:val="superscript"/>
        </w:rPr>
        <w:t>2,4,5</w:t>
      </w:r>
      <w:r>
        <w:rPr>
          <w:i/>
          <w:iCs/>
        </w:rPr>
        <w:t xml:space="preserve"> OPCIONES ¨CHEMO-FREE¨ DE PRIMERA LÍNEA INCLUYEN: BTKi, DOBLETES (BTKi + RITUXIMAB O BTKi + VENETOCLAX) O TRIPLETES (BTKi + VENETOCLAX + OBINUTUZUMAB). DURACIÓN: CONTINUA HASTA PROGRESIÓN O TOXICIDAD INACEPTABLE. </w:t>
      </w:r>
      <w:r>
        <w:rPr>
          <w:i/>
          <w:iCs/>
          <w:vertAlign w:val="superscript"/>
        </w:rPr>
        <w:t>6 ,7,8</w:t>
      </w:r>
      <w:r>
        <w:rPr>
          <w:i/>
          <w:iCs/>
        </w:rPr>
        <w:t xml:space="preserve"> EL USO DE CAR-T ES EFECTIVO EN PACIENTES CON LINFOMA DEL MANTO REFRACTARIO O RECAIDO. (9,10) SE RECOMIENDA MONITOREO SISTEMÁTICO DE TP53 EN RECAÍDA YA QUE PUEDE CAMBIAR LA ESTRATEGIA TERAPÉUTICA. </w:t>
      </w:r>
      <w:r>
        <w:rPr>
          <w:i/>
          <w:iCs/>
          <w:vertAlign w:val="superscript"/>
        </w:rPr>
        <w:t>1</w:t>
      </w:r>
    </w:p>
    <w:p w14:paraId="44EDF128" w14:textId="55625F04" w:rsidR="00242F5D" w:rsidRPr="00172E82" w:rsidRDefault="00000000" w:rsidP="00D3731D">
      <w:pPr>
        <w:spacing w:before="240" w:after="240"/>
        <w:jc w:val="both"/>
        <w:rPr>
          <w:sz w:val="20"/>
          <w:szCs w:val="20"/>
        </w:rPr>
      </w:pPr>
      <w:r>
        <w:rPr>
          <w:b/>
        </w:rPr>
        <w:t>Justificación</w:t>
      </w:r>
      <w:r>
        <w:t xml:space="preserve">: </w:t>
      </w:r>
      <w:r>
        <w:rPr>
          <w:sz w:val="20"/>
          <w:szCs w:val="20"/>
        </w:rPr>
        <w:t>El monitoreo sistemático del estado de TP53 debe realizarse al diagnóstico y reevaluarse en toda recaída, dado que el estado mutacional puede emerger o cambiar por evolución clonal, modificando radicalmente la estrategia terapéutica.⁶ En centros latinoamericanos sin acceso a NGS, la IHQ p53 ≥50% constituye el sustituto mínimo aceptable, con la advertencia de que hasta un 11% de mutaciones de TP53 pueden cursar con expresión proteica baja o negativa por IHQ.² La quimioterapia convencional incluyendo HD-AraC y auto-TPH ofrece resultados devastadores en pacientes TP53-mutados. En el análisis conjunto de los ensayos Nordic MCL2 y MCL3 (n=183 pacientes jóvenes tratados con inducción intensiva más auto-TPH), los pacientes con mutación de TP53 presentaron mediana de SLP de 0.9 años y SG de 1.9 años, frente a 12.7 años de SG en pacientes TP53 wild-type (HR 6.2; p&lt;0.0001).¹ Estos resultados establecen de forma inequívoca que la quimioterapia convencional no debe ser la estrategia principal en este subgrupo, independientemente de la intensidad del régimen empleado.¹ Los inhibidores de BTK en monoterapia tampoco son suficientes en TP53-mutado. En datos agrupados de ensayos prospectivos con ibrutinib en monoterapia, los 20 pacientes con mutación de TP53 presentaron una mediana de SLP de solo 4 meses y SG de 12 meses, muy inferiores a los resultados en pacientes wild-type. ² Esto descarta el BTKi como estrategia única y fundamenta el uso de combinaciones. El mayor avance en este subgrupo proviene de la inhibición dual de BTK y BCL2 con adición de anti-CD20. El ensayo BOVen (fase 2, n=25, primera línea exclusivamente en TP53-mutado) evaluó zanubrutinib + obinutuzumab + venetoclax durante un mínimo de 24 ciclos con discontinuación guiada por EMR: los pacientes en RC con EMR indetectable (10</w:t>
      </w:r>
      <w:r>
        <w:rPr>
          <w:rFonts w:ascii="Cambria Math" w:hAnsi="Cambria Math" w:cs="Cambria Math"/>
          <w:sz w:val="20"/>
          <w:szCs w:val="20"/>
        </w:rPr>
        <w:t>⁻</w:t>
      </w:r>
      <w:r>
        <w:rPr>
          <w:sz w:val="20"/>
          <w:szCs w:val="20"/>
        </w:rPr>
        <w:t xml:space="preserve">⁶) podían suspender tratamiento, mientras los demás continuaban con zanubrutinib y venetoclax. Con seguimiento mediano de 28.2 meses, la SLP a 2 años fue de 72%, ORR 96% y RC 88%, cumpliendo el endpoint primario del estudio — comparado con SLP a 2 años de apenas 20% con quimioterapia intensiva más auto-TPH en la misma población. ³ La tolerabilidad fue favorable con administración ambulatoria, sin síndrome de lisis tumoral clínico significativo durante la rampa de venetoclax.³   El trasplante autólogo no supera la resistencia mediada por TP53 en pacientes tratados con quimioterapia convencional.¹ El trasplante alogénico, en cambio, ofrece potencial curativo en pacientes jóvenes y aptos que alcanzan remisión profunda con regímenes chemo-free, siendo la única estrategia con evidencia de remisiones duraderas en este subgrupo; una serie reciente demostró control duradero de enfermedad incluyendo en pacientes TP53-mutados.⁵ En recaída/refractario, el CAR-T (brexucabtagene autoleucel en ZUMA-2; lisocabtagene maraleucel en TRANSCEND) ha </w:t>
      </w:r>
      <w:r>
        <w:rPr>
          <w:sz w:val="20"/>
          <w:szCs w:val="20"/>
        </w:rPr>
        <w:lastRenderedPageBreak/>
        <w:t>demostrado eficacia comparable en pacientes TP53-mutados y wild-type, con ORR de 85–93% y RC de 59–68%, y debe considerarse tempranamente dado que la progresión post-BTKi condiciona acceso a esta terapia.⁶ Consideración práctica para Latinoamérica: En ausencia de venetoclax y/o BTKi de segunda generación, el doblete con el BTKi disponible (ibrutinib o acalabrutinib) más rituximab representa la mejor opción accesible, reconociendo que las respuestas son parciales y de corta duración en TP53-mutado.² Si no hay acceso a ningún BTKi, la quimioterapia puede utilizarse como puente hacia una respuesta transitoria, pero el objetivo debe reorientarse hacia el acceso urgente a ensayos clínicos o programas de acceso expandido, y la derivación a centros de mayor complejidad es obligatoria cuando sea factible.⁷</w:t>
      </w:r>
    </w:p>
    <w:p w14:paraId="25237215" w14:textId="11D6BB8C" w:rsidR="00EA2FA6" w:rsidRPr="00172E82" w:rsidRDefault="00EA2FA6" w:rsidP="00D3731D">
      <w:pPr>
        <w:spacing w:before="60" w:after="60" w:line="260" w:lineRule="auto"/>
        <w:ind w:left="360" w:hanging="360"/>
        <w:jc w:val="both"/>
        <w:rPr>
          <w:sz w:val="20"/>
          <w:szCs w:val="20"/>
        </w:rPr>
      </w:pPr>
      <w:r>
        <w:rPr>
          <w:b/>
          <w:bCs/>
        </w:rPr>
        <w:t>Declaración (1B):</w:t>
      </w:r>
      <w:r>
        <w:t xml:space="preserve"> </w:t>
      </w:r>
      <w:r>
        <w:rPr>
          <w:sz w:val="20"/>
          <w:szCs w:val="20"/>
        </w:rPr>
        <w:t>En pacientes con LCM y alteraciones de TP53 (mutación y/o del17p),</w:t>
      </w:r>
    </w:p>
    <w:p w14:paraId="042C1C8C" w14:textId="1BB3CF02" w:rsidR="00EA2FA6" w:rsidRPr="00172E82" w:rsidRDefault="005C73C2" w:rsidP="00D3731D">
      <w:pPr>
        <w:spacing w:before="60" w:after="60" w:line="260" w:lineRule="auto"/>
        <w:ind w:left="360" w:hanging="360"/>
        <w:jc w:val="both"/>
        <w:rPr>
          <w:sz w:val="20"/>
          <w:szCs w:val="20"/>
        </w:rPr>
      </w:pPr>
      <w:r>
        <w:rPr>
          <w:sz w:val="20"/>
          <w:szCs w:val="20"/>
        </w:rPr>
        <w:t>evaluar estado de TP53 al diagnóstico y en toda recaída. La quimioterapia convencional</w:t>
      </w:r>
    </w:p>
    <w:p w14:paraId="221A3F9E" w14:textId="15C7FCF4" w:rsidR="00EA2FA6" w:rsidRPr="00172E82" w:rsidRDefault="005C73C2" w:rsidP="00D3731D">
      <w:pPr>
        <w:spacing w:before="60" w:after="60" w:line="260" w:lineRule="auto"/>
        <w:ind w:left="360" w:hanging="360"/>
        <w:jc w:val="both"/>
        <w:rPr>
          <w:sz w:val="20"/>
          <w:szCs w:val="20"/>
        </w:rPr>
      </w:pPr>
      <w:r>
        <w:rPr>
          <w:sz w:val="20"/>
          <w:szCs w:val="20"/>
        </w:rPr>
        <w:t>incluyendo HD-AraC y auto-TPH no debe utilizarse como estrategia principal dado su impacto</w:t>
      </w:r>
    </w:p>
    <w:p w14:paraId="20267C0D" w14:textId="2AA76EBB" w:rsidR="00EA2FA6" w:rsidRPr="00172E82" w:rsidRDefault="005C73C2" w:rsidP="00D3731D">
      <w:pPr>
        <w:spacing w:before="60" w:after="60" w:line="260" w:lineRule="auto"/>
        <w:ind w:left="360" w:hanging="360"/>
        <w:jc w:val="both"/>
        <w:rPr>
          <w:sz w:val="20"/>
          <w:szCs w:val="20"/>
        </w:rPr>
      </w:pPr>
      <w:r>
        <w:rPr>
          <w:sz w:val="20"/>
          <w:szCs w:val="20"/>
        </w:rPr>
        <w:t>mínimo sobre la supervivencia en este subgrupo. Se recomienda: Primera línea, cuando los</w:t>
      </w:r>
    </w:p>
    <w:p w14:paraId="0F708223" w14:textId="74DAF902" w:rsidR="00EA2FA6" w:rsidRPr="00172E82" w:rsidRDefault="005C73C2" w:rsidP="00D3731D">
      <w:pPr>
        <w:spacing w:before="60" w:after="60" w:line="260" w:lineRule="auto"/>
        <w:ind w:left="360" w:hanging="360"/>
        <w:jc w:val="both"/>
        <w:rPr>
          <w:sz w:val="20"/>
          <w:szCs w:val="20"/>
        </w:rPr>
      </w:pPr>
      <w:r>
        <w:rPr>
          <w:sz w:val="20"/>
          <w:szCs w:val="20"/>
        </w:rPr>
        <w:t>recursos lo permiten, Tripletes chemo-free (BTKi + venetoclax + anti-CD20, preferentemente</w:t>
      </w:r>
    </w:p>
    <w:p w14:paraId="14C27BF8" w14:textId="68E37953" w:rsidR="00EA2FA6" w:rsidRPr="00172E82" w:rsidRDefault="005C73C2" w:rsidP="00D3731D">
      <w:pPr>
        <w:spacing w:before="60" w:after="60" w:line="260" w:lineRule="auto"/>
        <w:ind w:left="360" w:hanging="360"/>
        <w:jc w:val="both"/>
        <w:rPr>
          <w:sz w:val="20"/>
          <w:szCs w:val="20"/>
        </w:rPr>
      </w:pPr>
      <w:r>
        <w:rPr>
          <w:sz w:val="20"/>
          <w:szCs w:val="20"/>
        </w:rPr>
        <w:t>BOVen) o dobletes (BTKi + rituximab) con tratamiento continuo hasta RC con EMR</w:t>
      </w:r>
    </w:p>
    <w:p w14:paraId="275A800A" w14:textId="151F41E8" w:rsidR="00EA2FA6" w:rsidRPr="00172E82" w:rsidRDefault="005C73C2" w:rsidP="00D3731D">
      <w:pPr>
        <w:spacing w:before="60" w:after="60" w:line="260" w:lineRule="auto"/>
        <w:ind w:left="360" w:hanging="360"/>
        <w:jc w:val="both"/>
        <w:rPr>
          <w:sz w:val="20"/>
          <w:szCs w:val="20"/>
        </w:rPr>
      </w:pPr>
      <w:r>
        <w:rPr>
          <w:sz w:val="20"/>
          <w:szCs w:val="20"/>
        </w:rPr>
        <w:t>indetectable o hasta progresión/toxicidad inaceptable. En pacientes jóvenes y aptos que</w:t>
      </w:r>
    </w:p>
    <w:p w14:paraId="30508FDD" w14:textId="67076EEC" w:rsidR="00EA2FA6" w:rsidRPr="00172E82" w:rsidRDefault="005C73C2" w:rsidP="00D3731D">
      <w:pPr>
        <w:spacing w:before="60" w:after="60" w:line="260" w:lineRule="auto"/>
        <w:ind w:left="360" w:hanging="360"/>
        <w:jc w:val="both"/>
        <w:rPr>
          <w:sz w:val="20"/>
          <w:szCs w:val="20"/>
        </w:rPr>
      </w:pPr>
      <w:r>
        <w:rPr>
          <w:sz w:val="20"/>
          <w:szCs w:val="20"/>
        </w:rPr>
        <w:t>alcanzan remisión profunda, evaluar consolidación con trasplante alogénico.</w:t>
      </w:r>
    </w:p>
    <w:p w14:paraId="7CBBB68B" w14:textId="7B9B5C3F" w:rsidR="00EA2FA6" w:rsidRPr="00172E82" w:rsidRDefault="005C73C2" w:rsidP="00D3731D">
      <w:pPr>
        <w:spacing w:before="60" w:after="60" w:line="260" w:lineRule="auto"/>
        <w:ind w:left="360" w:hanging="360"/>
        <w:jc w:val="both"/>
        <w:rPr>
          <w:sz w:val="20"/>
          <w:szCs w:val="20"/>
        </w:rPr>
      </w:pPr>
      <w:r>
        <w:rPr>
          <w:sz w:val="20"/>
          <w:szCs w:val="20"/>
        </w:rPr>
        <w:t>Recaída/refractario: Referir tempranamente para CAR-T dado que su eficacia es</w:t>
      </w:r>
    </w:p>
    <w:p w14:paraId="7561A63C" w14:textId="122EDDFE" w:rsidR="00EA2FA6" w:rsidRPr="00172E82" w:rsidRDefault="005C73C2" w:rsidP="00D3731D">
      <w:pPr>
        <w:spacing w:before="60" w:after="60" w:line="260" w:lineRule="auto"/>
        <w:ind w:left="360" w:hanging="360"/>
        <w:jc w:val="both"/>
        <w:rPr>
          <w:sz w:val="20"/>
          <w:szCs w:val="20"/>
        </w:rPr>
      </w:pPr>
      <w:r>
        <w:rPr>
          <w:sz w:val="20"/>
          <w:szCs w:val="20"/>
        </w:rPr>
        <w:t>independiente del estado de TP53. Evaluar alo-TPH como alternativa potencialmente curativa</w:t>
      </w:r>
    </w:p>
    <w:p w14:paraId="06EA160E" w14:textId="641020CA" w:rsidR="00EA2FA6" w:rsidRPr="00172E82" w:rsidRDefault="005C73C2" w:rsidP="00D3731D">
      <w:pPr>
        <w:spacing w:before="60" w:after="60" w:line="260" w:lineRule="auto"/>
        <w:ind w:left="360" w:hanging="360"/>
        <w:jc w:val="both"/>
        <w:rPr>
          <w:sz w:val="20"/>
          <w:szCs w:val="20"/>
        </w:rPr>
      </w:pPr>
      <w:r>
        <w:rPr>
          <w:sz w:val="20"/>
          <w:szCs w:val="20"/>
        </w:rPr>
        <w:t>en candidatos aptos. En ausencia de acceso a BTKi/venetoclax (contexto LATAM</w:t>
      </w:r>
    </w:p>
    <w:p w14:paraId="282EB988" w14:textId="5F3801F3" w:rsidR="00EA2FA6" w:rsidRPr="00172E82" w:rsidRDefault="005C73C2" w:rsidP="00D3731D">
      <w:pPr>
        <w:spacing w:before="60" w:after="60" w:line="260" w:lineRule="auto"/>
        <w:ind w:left="360" w:hanging="360"/>
        <w:jc w:val="both"/>
        <w:rPr>
          <w:sz w:val="20"/>
          <w:szCs w:val="20"/>
        </w:rPr>
      </w:pPr>
      <w:r>
        <w:rPr>
          <w:sz w:val="20"/>
          <w:szCs w:val="20"/>
        </w:rPr>
        <w:t>predominante): Utilizar el BTKi disponible más rituximab como mejor opción accesible. Si no</w:t>
      </w:r>
    </w:p>
    <w:p w14:paraId="36918691" w14:textId="6B9A3B04" w:rsidR="00EA2FA6" w:rsidRPr="00172E82" w:rsidRDefault="005C73C2" w:rsidP="00D3731D">
      <w:pPr>
        <w:spacing w:before="60" w:after="60" w:line="260" w:lineRule="auto"/>
        <w:ind w:left="360" w:hanging="360"/>
        <w:jc w:val="both"/>
        <w:rPr>
          <w:sz w:val="20"/>
          <w:szCs w:val="20"/>
        </w:rPr>
      </w:pPr>
      <w:r>
        <w:rPr>
          <w:sz w:val="20"/>
          <w:szCs w:val="20"/>
        </w:rPr>
        <w:t>hay BTKi, considerar quimioterapia como puente y priorizar acceso a ensayos clínicos o</w:t>
      </w:r>
    </w:p>
    <w:p w14:paraId="504B3816" w14:textId="14C5CC85" w:rsidR="00EA2FA6" w:rsidRPr="00172E82" w:rsidRDefault="005C73C2" w:rsidP="00D3731D">
      <w:pPr>
        <w:spacing w:before="60" w:after="60" w:line="260" w:lineRule="auto"/>
        <w:ind w:left="360" w:hanging="360"/>
        <w:jc w:val="both"/>
        <w:rPr>
          <w:sz w:val="20"/>
          <w:szCs w:val="20"/>
        </w:rPr>
      </w:pPr>
      <w:r>
        <w:rPr>
          <w:sz w:val="20"/>
          <w:szCs w:val="20"/>
        </w:rPr>
        <w:t>programas de acceso expandido. Derivación a centros de mayor complejidad obligatoria</w:t>
      </w:r>
    </w:p>
    <w:p w14:paraId="1309CCE5" w14:textId="7FE21708" w:rsidR="005C73C2" w:rsidRPr="00172E82" w:rsidRDefault="005C73C2" w:rsidP="00D3731D">
      <w:pPr>
        <w:spacing w:before="60" w:after="60" w:line="260" w:lineRule="auto"/>
        <w:ind w:left="360" w:hanging="360"/>
        <w:jc w:val="both"/>
        <w:rPr>
          <w:sz w:val="20"/>
          <w:szCs w:val="20"/>
        </w:rPr>
      </w:pPr>
      <w:r>
        <w:rPr>
          <w:sz w:val="20"/>
          <w:szCs w:val="20"/>
        </w:rPr>
        <w:t>cuando sea factible.</w:t>
      </w:r>
    </w:p>
    <w:p w14:paraId="345A1F1D" w14:textId="77777777" w:rsidR="00EA2FA6" w:rsidRPr="00BF3CE8" w:rsidRDefault="00EA2FA6" w:rsidP="00D3731D">
      <w:pPr>
        <w:spacing w:before="60" w:after="60" w:line="260" w:lineRule="auto"/>
        <w:ind w:left="360" w:hanging="360"/>
        <w:jc w:val="both"/>
        <w:rPr>
          <w:color w:val="444444"/>
          <w:sz w:val="18"/>
          <w:szCs w:val="18"/>
          <w:lang w:val="es-VE"/>
        </w:rPr>
      </w:pPr>
    </w:p>
    <w:p w14:paraId="57459B9F" w14:textId="6B19E61A" w:rsidR="005C73C2" w:rsidRPr="004F4119" w:rsidRDefault="00242F5D" w:rsidP="00D3731D">
      <w:pPr>
        <w:spacing w:before="60" w:after="60" w:line="260" w:lineRule="auto"/>
        <w:ind w:left="360" w:hanging="360"/>
        <w:jc w:val="both"/>
        <w:rPr>
          <w:b/>
          <w:bCs/>
          <w:color w:val="444444"/>
          <w:sz w:val="18"/>
          <w:szCs w:val="18"/>
          <w:lang w:val="es-VE"/>
        </w:rPr>
      </w:pPr>
      <w:r>
        <w:rPr>
          <w:b/>
          <w:bCs/>
          <w:color w:val="444444"/>
          <w:sz w:val="18"/>
          <w:szCs w:val="18"/>
          <w:lang w:val="es-VE"/>
        </w:rPr>
        <w:t xml:space="preserve">Bibliografia </w:t>
      </w:r>
    </w:p>
    <w:p w14:paraId="24700272" w14:textId="77777777" w:rsidR="005C73C2" w:rsidRPr="00715E69" w:rsidRDefault="005C73C2" w:rsidP="00D3731D">
      <w:pPr>
        <w:spacing w:before="60" w:after="60" w:line="260" w:lineRule="auto"/>
        <w:ind w:left="360" w:hanging="360"/>
        <w:jc w:val="both"/>
        <w:rPr>
          <w:color w:val="444444"/>
          <w:sz w:val="18"/>
          <w:szCs w:val="18"/>
          <w:lang w:val="en-US"/>
        </w:rPr>
      </w:pPr>
      <w:r>
        <w:rPr>
          <w:color w:val="444444"/>
          <w:sz w:val="18"/>
          <w:szCs w:val="18"/>
          <w:lang w:val="es-VE"/>
        </w:rPr>
        <w:t xml:space="preserve">1. Eskelund CW, Dahl C, Hansen JW, et al. </w:t>
      </w:r>
      <w:r>
        <w:rPr>
          <w:color w:val="444444"/>
          <w:sz w:val="18"/>
          <w:szCs w:val="18"/>
          <w:lang w:val="en-US"/>
        </w:rPr>
        <w:t>TP53 mutations identify younger mantle cell lymphoma patients who do not benefit from intensive chemoimmunotherapy. *Blood*. 2017;130(17):1903–1910.</w:t>
      </w:r>
    </w:p>
    <w:p w14:paraId="781AA787" w14:textId="7EEE11E1" w:rsidR="005C73C2" w:rsidRPr="00430C0D" w:rsidRDefault="005C73C2" w:rsidP="00D3731D">
      <w:pPr>
        <w:spacing w:before="60" w:after="60" w:line="260" w:lineRule="auto"/>
        <w:ind w:left="360" w:hanging="360"/>
        <w:jc w:val="both"/>
        <w:rPr>
          <w:color w:val="444444"/>
          <w:sz w:val="18"/>
          <w:szCs w:val="18"/>
          <w:lang w:val="es-VE"/>
        </w:rPr>
      </w:pPr>
      <w:r>
        <w:rPr>
          <w:color w:val="444444"/>
          <w:sz w:val="18"/>
          <w:szCs w:val="18"/>
          <w:lang w:val="en-US"/>
        </w:rPr>
        <w:t xml:space="preserve">2. Wang M, Rule S, Zinzani PL, et al. Ibrutinib monotherapy in relapsed/refractory TP53-mutated MCL: pooled analysis. </w:t>
      </w:r>
      <w:r>
        <w:rPr>
          <w:color w:val="444444"/>
          <w:sz w:val="18"/>
          <w:szCs w:val="18"/>
          <w:lang w:val="es-VE"/>
        </w:rPr>
        <w:t>Haematologica. 2019;104(5):e211–e214.</w:t>
      </w:r>
    </w:p>
    <w:p w14:paraId="3199D743" w14:textId="77777777" w:rsidR="005C73C2" w:rsidRPr="00715E69" w:rsidRDefault="005C73C2" w:rsidP="00D3731D">
      <w:pPr>
        <w:spacing w:before="60" w:after="60" w:line="260" w:lineRule="auto"/>
        <w:ind w:left="360" w:hanging="360"/>
        <w:jc w:val="both"/>
        <w:rPr>
          <w:color w:val="444444"/>
          <w:sz w:val="18"/>
          <w:szCs w:val="18"/>
          <w:lang w:val="en-US"/>
        </w:rPr>
      </w:pPr>
      <w:r>
        <w:rPr>
          <w:color w:val="444444"/>
          <w:sz w:val="18"/>
          <w:szCs w:val="18"/>
          <w:lang w:val="es-VE"/>
        </w:rPr>
        <w:t xml:space="preserve">3. Kumar A, Soumerai J, Abramson JS, et al. </w:t>
      </w:r>
      <w:r>
        <w:rPr>
          <w:color w:val="444444"/>
          <w:sz w:val="18"/>
          <w:szCs w:val="18"/>
          <w:lang w:val="en-US"/>
        </w:rPr>
        <w:t>Zanubrutinib, obinutuzumab, and venetoclax for first-line treatment of MCL with a TP53 mutation (BOVen). *Blood*. 2025;145(5):497–507.</w:t>
      </w:r>
    </w:p>
    <w:p w14:paraId="75E3EA7F" w14:textId="77777777" w:rsidR="005C73C2" w:rsidRPr="00715E69" w:rsidRDefault="005C73C2" w:rsidP="00D3731D">
      <w:pPr>
        <w:spacing w:before="60" w:after="60" w:line="260" w:lineRule="auto"/>
        <w:ind w:left="360" w:hanging="360"/>
        <w:jc w:val="both"/>
        <w:rPr>
          <w:color w:val="444444"/>
          <w:sz w:val="18"/>
          <w:szCs w:val="18"/>
          <w:lang w:val="en-US"/>
        </w:rPr>
      </w:pPr>
      <w:r>
        <w:rPr>
          <w:color w:val="444444"/>
          <w:sz w:val="18"/>
          <w:szCs w:val="18"/>
          <w:lang w:val="en-US"/>
        </w:rPr>
        <w:t>4. Dreyling M, Doorduijn JK, Gine E, et al. TRIANGLE. *Lancet*. 2024;403(10441):2293–2306.</w:t>
      </w:r>
    </w:p>
    <w:p w14:paraId="43A7FD14" w14:textId="77777777" w:rsidR="005C73C2" w:rsidRPr="00715E69" w:rsidRDefault="005C73C2" w:rsidP="00D3731D">
      <w:pPr>
        <w:spacing w:before="60" w:after="60" w:line="260" w:lineRule="auto"/>
        <w:ind w:left="360" w:hanging="360"/>
        <w:jc w:val="both"/>
        <w:rPr>
          <w:color w:val="444444"/>
          <w:sz w:val="18"/>
          <w:szCs w:val="18"/>
          <w:lang w:val="en-US"/>
        </w:rPr>
      </w:pPr>
      <w:r>
        <w:rPr>
          <w:color w:val="444444"/>
          <w:sz w:val="18"/>
          <w:szCs w:val="18"/>
          <w:lang w:val="en-US"/>
        </w:rPr>
        <w:t>5. Lew TE, Cliff ERS, Dickinson M, et al. Allogeneic stem cell transplantation achieves long-term remissions in MCL including TP53-mutated disease. *Leuk Lymphoma*. 2023;64(11):1792–1800.</w:t>
      </w:r>
    </w:p>
    <w:p w14:paraId="1EA4B42C" w14:textId="5125FFA6" w:rsidR="005C73C2" w:rsidRPr="00BB65F3" w:rsidRDefault="005C73C2" w:rsidP="00D3731D">
      <w:pPr>
        <w:spacing w:before="60" w:after="60" w:line="260" w:lineRule="auto"/>
        <w:ind w:left="360" w:hanging="360"/>
        <w:jc w:val="both"/>
        <w:rPr>
          <w:color w:val="444444"/>
          <w:sz w:val="18"/>
          <w:szCs w:val="18"/>
          <w:lang w:val="es-VE"/>
        </w:rPr>
      </w:pPr>
      <w:r>
        <w:rPr>
          <w:color w:val="444444"/>
          <w:sz w:val="18"/>
          <w:szCs w:val="18"/>
          <w:lang w:val="en-US"/>
        </w:rPr>
        <w:t xml:space="preserve">6. Wang ML, Munoz J, Goy A, et al. KTE-X19 CAR T-cell therapy in relapsed/refractory MCL (ZUMA-2). </w:t>
      </w:r>
      <w:r>
        <w:rPr>
          <w:color w:val="444444"/>
          <w:sz w:val="18"/>
          <w:szCs w:val="18"/>
          <w:lang w:val="es-VE"/>
        </w:rPr>
        <w:t>*N Engl J Med*. 2022; 386:2331–2342.</w:t>
      </w:r>
    </w:p>
    <w:p w14:paraId="33C960E3" w14:textId="63E78D3E" w:rsidR="00777457" w:rsidRPr="00A87132" w:rsidRDefault="005C73C2" w:rsidP="00D3731D">
      <w:pPr>
        <w:spacing w:before="60" w:after="60" w:line="260" w:lineRule="auto"/>
        <w:ind w:left="360" w:hanging="360"/>
        <w:jc w:val="both"/>
        <w:rPr>
          <w:color w:val="444444"/>
          <w:sz w:val="18"/>
          <w:szCs w:val="18"/>
          <w:lang w:val="es-VE"/>
        </w:rPr>
      </w:pPr>
      <w:r>
        <w:rPr>
          <w:color w:val="444444"/>
          <w:sz w:val="18"/>
          <w:szCs w:val="18"/>
          <w:lang w:val="es-VE"/>
        </w:rPr>
        <w:t xml:space="preserve">7. Dreyling M, Campo E, Hermine O, et al. </w:t>
      </w:r>
      <w:r>
        <w:rPr>
          <w:color w:val="444444"/>
          <w:sz w:val="18"/>
          <w:szCs w:val="18"/>
          <w:lang w:val="en-US"/>
        </w:rPr>
        <w:t xml:space="preserve">ESMO Clinical Practice Guidelines for MCL. </w:t>
      </w:r>
      <w:r>
        <w:rPr>
          <w:color w:val="444444"/>
          <w:sz w:val="18"/>
          <w:szCs w:val="18"/>
          <w:lang w:val="es-VE"/>
        </w:rPr>
        <w:t>Ann Oncol. 2024;35(4):321–337.</w:t>
      </w:r>
    </w:p>
    <w:p w14:paraId="5D66BF37" w14:textId="77777777" w:rsidR="00A87132" w:rsidRPr="000C6123" w:rsidRDefault="00A87132" w:rsidP="00D3731D">
      <w:pPr>
        <w:spacing w:before="360" w:after="140"/>
        <w:jc w:val="both"/>
        <w:rPr>
          <w:sz w:val="24"/>
          <w:szCs w:val="24"/>
        </w:rPr>
      </w:pPr>
      <w:r>
        <w:rPr>
          <w:b/>
          <w:bCs/>
          <w:sz w:val="24"/>
          <w:szCs w:val="24"/>
        </w:rPr>
        <w:t>4.3 ¿El subtipo blastoide se beneficia de trasplante autólogo versus terapias dirigidas? ¿La presencia de enfermedad blastoide/pleomórfica modifica el abordaje?</w:t>
      </w:r>
    </w:p>
    <w:p w14:paraId="78C97B6E" w14:textId="611F3B82" w:rsidR="008977FB" w:rsidRPr="00E80AB3" w:rsidRDefault="00A87132" w:rsidP="00D3731D">
      <w:pPr>
        <w:spacing w:before="180" w:after="80"/>
        <w:jc w:val="both"/>
      </w:pPr>
      <w:r>
        <w:rPr>
          <w:b/>
          <w:bCs/>
        </w:rPr>
        <w:t>EN PRIMERA LÍNEA:</w:t>
      </w:r>
    </w:p>
    <w:p w14:paraId="04506193" w14:textId="7BFEAF4D" w:rsidR="008977FB" w:rsidRPr="00172E82" w:rsidRDefault="00A87132" w:rsidP="00172E82">
      <w:pPr>
        <w:spacing w:before="120" w:after="80"/>
        <w:jc w:val="both"/>
        <w:rPr>
          <w:i/>
          <w:iCs/>
        </w:rPr>
      </w:pPr>
      <w:r>
        <w:rPr>
          <w:i/>
          <w:iCs/>
        </w:rPr>
        <w:t>AUTO-TPH TRAS INDUCCIÓN CON CITARABINA PERMANECE COMO ESTÁNDAR Y MEJORA LA SLP EN POBLACIÓN GENERAL, PERO EN PACIENTES BLASTOIDES/TP53 EL BENEFICIO ES LIMITADO.</w:t>
      </w:r>
      <w:r>
        <w:rPr>
          <w:i/>
          <w:iCs/>
          <w:vertAlign w:val="superscript"/>
        </w:rPr>
        <w:t>8</w:t>
      </w:r>
      <w:r>
        <w:rPr>
          <w:i/>
          <w:iCs/>
        </w:rPr>
        <w:t xml:space="preserve">LCM BLASTOIDE FRECUENTEMENTE COEXISTE CON </w:t>
      </w:r>
      <w:r>
        <w:rPr>
          <w:i/>
          <w:iCs/>
        </w:rPr>
        <w:lastRenderedPageBreak/>
        <w:t>OTRAS CARACTERÍSTICAS DE ALTO RIESGO: KI-67 &gt;30%, MUTACIÓN TP53, CARIOTIPO COMPLEJO.</w:t>
      </w:r>
      <w:r>
        <w:rPr>
          <w:i/>
          <w:iCs/>
          <w:vertAlign w:val="superscript"/>
        </w:rPr>
        <w:t>6,8</w:t>
      </w:r>
      <w:r>
        <w:rPr>
          <w:i/>
          <w:iCs/>
        </w:rPr>
        <w:t>CONSIDERAR BTKI ± COMBINACIONES TEMPRANAMENTE.</w:t>
      </w:r>
    </w:p>
    <w:p w14:paraId="0203410B" w14:textId="41A5CBA4" w:rsidR="008977FB" w:rsidRPr="00172E82" w:rsidRDefault="00A87132" w:rsidP="00172E82">
      <w:pPr>
        <w:spacing w:before="120" w:after="80"/>
        <w:jc w:val="both"/>
        <w:rPr>
          <w:i/>
          <w:iCs/>
        </w:rPr>
      </w:pPr>
      <w:r>
        <w:rPr>
          <w:i/>
          <w:iCs/>
        </w:rPr>
        <w:t>SI TP53-NEGATIVO: AUTO-TPH PERMANECE COMO OPCIÓN RAZONABLE.</w:t>
      </w:r>
    </w:p>
    <w:p w14:paraId="5135FDE6" w14:textId="77777777" w:rsidR="00A87132" w:rsidRPr="00172E82" w:rsidRDefault="00A87132" w:rsidP="00172E82">
      <w:pPr>
        <w:spacing w:before="120" w:after="80"/>
        <w:jc w:val="both"/>
        <w:rPr>
          <w:i/>
          <w:iCs/>
        </w:rPr>
      </w:pPr>
      <w:r>
        <w:rPr>
          <w:i/>
          <w:iCs/>
        </w:rPr>
        <w:t>EN PACIENTES JÓVENES, EL TRASPLANTE ALOGÉNICO PODRÍA SER UNA OPCIÓN RAZONABLE.</w:t>
      </w:r>
    </w:p>
    <w:p w14:paraId="5706958D" w14:textId="77777777" w:rsidR="00E80AB3" w:rsidRDefault="00A87132" w:rsidP="008977FB">
      <w:pPr>
        <w:spacing w:before="180" w:after="80"/>
        <w:jc w:val="both"/>
      </w:pPr>
      <w:r>
        <w:rPr>
          <w:b/>
          <w:bCs/>
        </w:rPr>
        <w:t>EN RECAÍDA:</w:t>
      </w:r>
      <w:r>
        <w:t xml:space="preserve"> </w:t>
      </w:r>
    </w:p>
    <w:p w14:paraId="7ACEF861" w14:textId="63F32848" w:rsidR="00A87132" w:rsidRPr="00172E82" w:rsidRDefault="00A87132" w:rsidP="008977FB">
      <w:pPr>
        <w:spacing w:before="180" w:after="80"/>
        <w:jc w:val="both"/>
        <w:rPr>
          <w:i/>
          <w:iCs/>
        </w:rPr>
      </w:pPr>
      <w:r>
        <w:rPr>
          <w:i/>
          <w:iCs/>
        </w:rPr>
        <w:t>LCM BLASTOIDE/PLEOMÓRFICO ES ALTAMENTE REFRACTARIO A QUIMIOINMUNOTERAPIA; NO SE RECOMIENDA SI ES EVITABLE.</w:t>
      </w:r>
      <w:r>
        <w:rPr>
          <w:i/>
          <w:iCs/>
          <w:vertAlign w:val="superscript"/>
        </w:rPr>
        <w:t>8</w:t>
      </w:r>
      <w:r>
        <w:rPr>
          <w:i/>
          <w:iCs/>
        </w:rPr>
        <w:t>INCLUIR EN ENSAYOS CLÍNICOS SI ESTÁN DISPONIBLES.OPCIONES: BTKI (ACTIVIDAD VARIABLE; ZANUBRUTINIB PROMETEDOR EN BLASTOIDE</w:t>
      </w:r>
      <w:r>
        <w:rPr>
          <w:i/>
          <w:iCs/>
          <w:vertAlign w:val="superscript"/>
        </w:rPr>
        <w:t>9</w:t>
      </w:r>
      <w:r>
        <w:rPr>
          <w:i/>
          <w:iCs/>
        </w:rPr>
        <w:t>), COMBINACIONES BTKI + VENETOCLAX [SYMPATICO]</w:t>
      </w:r>
      <w:r>
        <w:rPr>
          <w:i/>
          <w:iCs/>
          <w:vertAlign w:val="superscript"/>
        </w:rPr>
        <w:t>10</w:t>
      </w:r>
      <w:r>
        <w:rPr>
          <w:i/>
          <w:iCs/>
        </w:rPr>
        <w:t>, PIRTOBRUTINIB POST-CBTKI</w:t>
      </w:r>
      <w:r>
        <w:rPr>
          <w:i/>
          <w:iCs/>
          <w:vertAlign w:val="superscript"/>
        </w:rPr>
        <w:t>11</w:t>
      </w:r>
      <w:r>
        <w:rPr>
          <w:i/>
          <w:iCs/>
        </w:rPr>
        <w:t>, CAR-T (BREXU-CEL O LISO-CEL) CON RESULTADOS FAVORABLES INCLUSO EN MORFOLOGIA BLASTOIDE</w:t>
      </w:r>
      <w:r>
        <w:rPr>
          <w:i/>
          <w:iCs/>
          <w:vertAlign w:val="superscript"/>
        </w:rPr>
        <w:t>12</w:t>
      </w:r>
      <w:r>
        <w:rPr>
          <w:i/>
          <w:iCs/>
        </w:rPr>
        <w:t>.EN AMÉRICA LATINA, EN AUSENCIA DE CAR-T: CONSIDERAR TRASPLANTE ALOGÉNICO EN PACIENTES SELECCIONADOS TRAS LOGRAR RC/RP</w:t>
      </w:r>
      <w:r>
        <w:rPr>
          <w:i/>
          <w:iCs/>
          <w:sz w:val="20"/>
          <w:szCs w:val="20"/>
        </w:rPr>
        <w:t>.</w:t>
      </w:r>
    </w:p>
    <w:p w14:paraId="4ABCECDA" w14:textId="3C9CF40C" w:rsidR="00A87132" w:rsidRPr="00172E82" w:rsidRDefault="00A87132" w:rsidP="000C6123">
      <w:pPr>
        <w:spacing w:before="220" w:after="80"/>
        <w:jc w:val="both"/>
        <w:rPr>
          <w:sz w:val="20"/>
          <w:szCs w:val="20"/>
        </w:rPr>
      </w:pPr>
      <w:r>
        <w:rPr>
          <w:b/>
          <w:bCs/>
        </w:rPr>
        <w:t xml:space="preserve">Justificación: </w:t>
      </w:r>
      <w:r>
        <w:rPr>
          <w:sz w:val="20"/>
          <w:szCs w:val="20"/>
        </w:rPr>
        <w:t>En población general, auto-TPH tras citarabina mejora la SLP; en subtipo blastoide/TP53 el beneficio es limitado ya que los pacientes logran respuestas iniciales, pero recaen rápidamente. Los datos del estudio nórdico MCL2/MCL3 demostraron que las mutaciones de TP53 identifican una forma fenotípicamente distinta y altamente agresiva de LCM con escasa o nula respuesta a los regímenes con citarabina, rituximab y auto-TPH, con una SG mediana de solo 1,8 años versus 12,7 años en los casos TP53-no mutados.</w:t>
      </w:r>
      <w:r>
        <w:rPr>
          <w:sz w:val="20"/>
          <w:szCs w:val="20"/>
          <w:vertAlign w:val="superscript"/>
        </w:rPr>
        <w:t>8</w:t>
      </w:r>
      <w:r>
        <w:rPr>
          <w:sz w:val="20"/>
          <w:szCs w:val="20"/>
        </w:rPr>
        <w:t xml:space="preserve"> BTKi y combinaciones muestran actividad en blastoide; CAR-T tiene actividad en blastoide en recaída. LCM blastoide/pleomórfico es infrecuente (10-15% de casos) con curso clínico altamente agresivo y pronóstico sombrío; su perfil genético/mutacional incluye TP53+, cariotipo complejo y anomalías de cromosomas 3, 8, 13, 17 y 18.</w:t>
      </w:r>
      <w:r>
        <w:rPr>
          <w:sz w:val="20"/>
          <w:szCs w:val="20"/>
          <w:vertAlign w:val="superscript"/>
        </w:rPr>
        <w:t>6</w:t>
      </w:r>
      <w:r>
        <w:rPr>
          <w:sz w:val="20"/>
          <w:szCs w:val="20"/>
        </w:rPr>
        <w:t xml:space="preserve"> Es altamente refractario a quimioinmunoterapia; ensayos prospectivos centrados en blastoide son escasos dado el menor número de pacientes.</w:t>
      </w:r>
    </w:p>
    <w:p w14:paraId="4CD75677" w14:textId="77777777" w:rsidR="00A87132" w:rsidRPr="00172E82" w:rsidRDefault="00A87132" w:rsidP="00D3731D">
      <w:pPr>
        <w:spacing w:after="140"/>
        <w:jc w:val="both"/>
        <w:rPr>
          <w:sz w:val="20"/>
          <w:szCs w:val="20"/>
        </w:rPr>
      </w:pPr>
      <w:r>
        <w:rPr>
          <w:sz w:val="20"/>
          <w:szCs w:val="20"/>
        </w:rPr>
        <w:t>Estudios con seguimiento largo de cBTKi muestran tasas de respuesta (50-80%) y SLP (6-24 meses) generalmente inferiores en blastoide versus no blastoide, con excepción de zanubrutinib que muestra DOR mediana de 30,2 meses y SLP mediana de 25 meses en pacientes con histología blastoide, similar a la histología clásica.</w:t>
      </w:r>
      <w:r>
        <w:rPr>
          <w:sz w:val="20"/>
          <w:szCs w:val="20"/>
          <w:vertAlign w:val="superscript"/>
        </w:rPr>
        <w:t>9</w:t>
      </w:r>
      <w:r>
        <w:rPr>
          <w:sz w:val="20"/>
          <w:szCs w:val="20"/>
        </w:rPr>
        <w:t xml:space="preserve"> Pirtobrutinib logró una TRG del 50% (IC95% 15,7-84,3) en 8 pacientes con LCM blastoide tras cBTKi previo.</w:t>
      </w:r>
      <w:r>
        <w:rPr>
          <w:sz w:val="20"/>
          <w:szCs w:val="20"/>
          <w:vertAlign w:val="superscript"/>
        </w:rPr>
        <w:t>11</w:t>
      </w:r>
      <w:r>
        <w:rPr>
          <w:sz w:val="20"/>
          <w:szCs w:val="20"/>
        </w:rPr>
        <w:t xml:space="preserve"> SYMPATICO (fase 3) mostró superioridad de ibrutinib + venetoclax sobre ibrutinib + placebo en LCM R/R (SLP mediana 31,9 vs 22,1 meses, HR 0,65; p=0,0052), con tasa de RC del 54% versus 32%.</w:t>
      </w:r>
      <w:r>
        <w:rPr>
          <w:sz w:val="20"/>
          <w:szCs w:val="20"/>
          <w:vertAlign w:val="superscript"/>
        </w:rPr>
        <w:t>10</w:t>
      </w:r>
      <w:r>
        <w:rPr>
          <w:sz w:val="20"/>
          <w:szCs w:val="20"/>
        </w:rPr>
        <w:t xml:space="preserve"> ZUMA-2 (seguimiento 3 años) incluyó pacientes con histología blastoide y alto riesgo, logrando una TRG del 91% (68% RC) con SLP mediana de 25,8 meses en el total de 68 pacientes tratados.</w:t>
      </w:r>
      <w:r>
        <w:rPr>
          <w:sz w:val="20"/>
          <w:szCs w:val="20"/>
          <w:vertAlign w:val="superscript"/>
        </w:rPr>
        <w:t>12</w:t>
      </w:r>
    </w:p>
    <w:p w14:paraId="7B3B8EAB" w14:textId="6148BF01" w:rsidR="00A87132" w:rsidRPr="00172E82" w:rsidRDefault="00A87132" w:rsidP="000C6123">
      <w:pPr>
        <w:spacing w:before="220" w:after="80"/>
        <w:jc w:val="both"/>
        <w:rPr>
          <w:sz w:val="20"/>
          <w:szCs w:val="20"/>
        </w:rPr>
      </w:pPr>
      <w:r>
        <w:rPr>
          <w:b/>
          <w:bCs/>
        </w:rPr>
        <w:t xml:space="preserve">Declaración (2C): </w:t>
      </w:r>
      <w:r>
        <w:rPr>
          <w:sz w:val="20"/>
          <w:szCs w:val="20"/>
        </w:rPr>
        <w:t>En LCM blastoide de primera línea, usar auto-TPH tras inducción con citarabina si TP53-negativo, pero reconocer el beneficio limitado en casos TP53+ y considerar estrategias basadas en BTKi tempranamente.</w:t>
      </w:r>
      <w:r>
        <w:rPr>
          <w:sz w:val="20"/>
          <w:szCs w:val="20"/>
          <w:vertAlign w:val="superscript"/>
        </w:rPr>
        <w:t>6,8</w:t>
      </w:r>
      <w:r>
        <w:rPr>
          <w:sz w:val="20"/>
          <w:szCs w:val="20"/>
        </w:rPr>
        <w:t xml:space="preserve"> En recaída, evitar quimioinmunoterapia en enfermedad blastoide/pleomórfica si es posible; priorizar CAR-T (brexu-cel) cuando esté disponible,</w:t>
      </w:r>
      <w:r>
        <w:rPr>
          <w:sz w:val="20"/>
          <w:szCs w:val="20"/>
          <w:vertAlign w:val="superscript"/>
        </w:rPr>
        <w:t>12</w:t>
      </w:r>
      <w:r>
        <w:rPr>
          <w:sz w:val="20"/>
          <w:szCs w:val="20"/>
        </w:rPr>
        <w:t xml:space="preserve"> o considerar regímenes basados en BTKi, pirtobrutinib post-cBTKi,</w:t>
      </w:r>
      <w:r>
        <w:rPr>
          <w:sz w:val="20"/>
          <w:szCs w:val="20"/>
          <w:vertAlign w:val="superscript"/>
        </w:rPr>
        <w:t>11</w:t>
      </w:r>
      <w:r>
        <w:rPr>
          <w:sz w:val="20"/>
          <w:szCs w:val="20"/>
        </w:rPr>
        <w:t xml:space="preserve"> combinaciones BTKi + venetoclax (SYMPATICO),</w:t>
      </w:r>
      <w:r>
        <w:rPr>
          <w:sz w:val="20"/>
          <w:szCs w:val="20"/>
          <w:vertAlign w:val="superscript"/>
        </w:rPr>
        <w:t>10</w:t>
      </w:r>
      <w:r>
        <w:rPr>
          <w:sz w:val="20"/>
          <w:szCs w:val="20"/>
        </w:rPr>
        <w:t xml:space="preserve"> o trasplante alogénico en pacientes seleccionados en América Latina donde CAR-T no esté disponible. Incluir en ensayos clínicos cuando sea factible.</w:t>
      </w:r>
    </w:p>
    <w:p w14:paraId="2DAFA7D4" w14:textId="63DDC70B" w:rsidR="000C6123" w:rsidRPr="000C6123" w:rsidRDefault="00A87132" w:rsidP="00D3731D">
      <w:pPr>
        <w:spacing w:before="360" w:after="140"/>
        <w:jc w:val="both"/>
        <w:rPr>
          <w:sz w:val="24"/>
          <w:szCs w:val="24"/>
        </w:rPr>
      </w:pPr>
      <w:r>
        <w:rPr>
          <w:b/>
          <w:bCs/>
          <w:sz w:val="24"/>
          <w:szCs w:val="24"/>
        </w:rPr>
        <w:t>4.4 ¿Cómo clasificar y manejar LCM según estado de SOX11 cuando no está disponible?</w:t>
      </w:r>
    </w:p>
    <w:p w14:paraId="7A1E1864" w14:textId="1C729109" w:rsidR="00A87132" w:rsidRPr="00172E82" w:rsidRDefault="00A87132" w:rsidP="000433E2">
      <w:pPr>
        <w:spacing w:before="360" w:after="140"/>
        <w:jc w:val="both"/>
        <w:rPr>
          <w:i/>
          <w:iCs/>
        </w:rPr>
      </w:pPr>
      <w:r>
        <w:rPr>
          <w:i/>
          <w:iCs/>
        </w:rPr>
        <w:lastRenderedPageBreak/>
        <w:t>CUANDO SOX11 ESTÁ DISPONIBLE: NNMCL (SOX11−, IGHV MUTADO): CONSIDERAR "VIGILAR Y ESPERAR" SI ASINTOMÁTICO.</w:t>
      </w:r>
      <w:r>
        <w:rPr>
          <w:i/>
          <w:iCs/>
          <w:vertAlign w:val="superscript"/>
        </w:rPr>
        <w:t>13</w:t>
      </w:r>
      <w:r>
        <w:rPr>
          <w:i/>
          <w:iCs/>
        </w:rPr>
        <w:t xml:space="preserve"> LCM NODAL (SOX11+, IGHV NO MUTADO): TRATAMIENTO ESTÁNDAR AGRESIVO.</w:t>
      </w:r>
      <w:r>
        <w:rPr>
          <w:i/>
          <w:iCs/>
          <w:vertAlign w:val="superscript"/>
        </w:rPr>
        <w:t>13</w:t>
      </w:r>
      <w:r>
        <w:rPr>
          <w:i/>
          <w:iCs/>
        </w:rPr>
        <w:t xml:space="preserve"> EN AMÉRICA LATINA SIN SOX11: CLASIFICACIÓN GUIADA POR CLÍNICA: LEUCOCITOSIS, ESPLENOMEGALIA, BAJA CARGA GANGLIONAR Y CURSO INDOLENTE SUGIEREN NNMCL; ADENOPATÍAS PROMINENTES Y CURSO AGRESIVO SUGIEREN LCM NODAL CLÁSICO.</w:t>
      </w:r>
      <w:r>
        <w:rPr>
          <w:i/>
          <w:iCs/>
          <w:vertAlign w:val="superscript"/>
        </w:rPr>
        <w:t>13</w:t>
      </w:r>
    </w:p>
    <w:p w14:paraId="1A3B178B" w14:textId="5CFC4123" w:rsidR="00A87132" w:rsidRDefault="00A87132" w:rsidP="000C6123">
      <w:pPr>
        <w:spacing w:before="220" w:after="80"/>
        <w:jc w:val="both"/>
      </w:pPr>
      <w:r>
        <w:rPr>
          <w:b/>
          <w:bCs/>
        </w:rPr>
        <w:t>Justificación:</w:t>
      </w:r>
      <w:r>
        <w:t xml:space="preserve"> </w:t>
      </w:r>
      <w:r>
        <w:rPr>
          <w:sz w:val="20"/>
          <w:szCs w:val="20"/>
        </w:rPr>
        <w:t>El LCM se divide en dos presentaciones clínicas mayores: el LCM convencional (90% de los pacientes) con curso clínico generalmente agresivo, caracterizado por células SOX11-positivas e IGHV no mutado; y el LCM nodal leucémico (10% de los pacientes), generalmente presentando como LCM leucémico no nodal con SOX11-negativo e IGHV mutado, con comportamiento indolente.</w:t>
      </w:r>
      <w:r>
        <w:rPr>
          <w:sz w:val="20"/>
          <w:szCs w:val="20"/>
          <w:vertAlign w:val="superscript"/>
        </w:rPr>
        <w:t>13</w:t>
      </w:r>
      <w:r>
        <w:rPr>
          <w:sz w:val="20"/>
          <w:szCs w:val="20"/>
        </w:rPr>
        <w:t xml:space="preserve"> La adquisición de cambios moleculares adicionales como mutaciones de TP53, NSD2, SMARCA4, NOTCH2 y deleciones de CDKN2A puede transformar el LCM en el tipo blastoide o pleomórfico agresivo.</w:t>
      </w:r>
      <w:r>
        <w:rPr>
          <w:sz w:val="20"/>
          <w:szCs w:val="20"/>
          <w:vertAlign w:val="superscript"/>
        </w:rPr>
        <w:t>13</w:t>
      </w:r>
      <w:r>
        <w:rPr>
          <w:sz w:val="20"/>
          <w:szCs w:val="20"/>
        </w:rPr>
        <w:t xml:space="preserve"> En América Latina, SOX11 frecuentemente no está disponible. Las características clínicas permiten una orientación razonable y ayudan a evitar el sobretratamiento de la variante indolente; estos pacientes tienen una supervivencia mediana superior a 15 años y muchos pueden diferir la terapia en la presentación inicial.</w:t>
      </w:r>
    </w:p>
    <w:p w14:paraId="51853F3B" w14:textId="37E5ABBD" w:rsidR="00A87132" w:rsidRDefault="00A87132" w:rsidP="000C6123">
      <w:pPr>
        <w:spacing w:before="220" w:after="80"/>
        <w:jc w:val="both"/>
      </w:pPr>
      <w:r>
        <w:rPr>
          <w:b/>
          <w:bCs/>
        </w:rPr>
        <w:t xml:space="preserve">Declaración (2C): </w:t>
      </w:r>
      <w:r>
        <w:rPr>
          <w:sz w:val="20"/>
          <w:szCs w:val="20"/>
        </w:rPr>
        <w:t>Cuando la prueba de SOX11 esté disponible, usarla para guiar el manejo: considerar vigilar y esperar para nnMCL SOX11-negativo/IGHV-mutado si asintomático, y tratamiento estándar agresivo para LCM nodal SOX11-positivo.</w:t>
      </w:r>
      <w:r>
        <w:rPr>
          <w:sz w:val="20"/>
          <w:szCs w:val="20"/>
          <w:vertAlign w:val="superscript"/>
        </w:rPr>
        <w:t>13</w:t>
      </w:r>
      <w:r>
        <w:rPr>
          <w:sz w:val="20"/>
          <w:szCs w:val="20"/>
        </w:rPr>
        <w:t xml:space="preserve"> En América Latina donde SOX11 no está disponible, usar características clínicas (leucocitosis, esplenomegalia, baja carga ganglionar, curso indolente) para sospechar nnMCL versus presentación nodal clásica.</w:t>
      </w:r>
    </w:p>
    <w:p w14:paraId="59F0ABE3" w14:textId="751875DB" w:rsidR="003D6685" w:rsidRDefault="00A87132" w:rsidP="000C6123">
      <w:pPr>
        <w:spacing w:before="360" w:after="140"/>
        <w:jc w:val="both"/>
        <w:rPr>
          <w:b/>
          <w:bCs/>
          <w:sz w:val="20"/>
          <w:szCs w:val="20"/>
        </w:rPr>
      </w:pPr>
      <w:r>
        <w:rPr>
          <w:b/>
          <w:bCs/>
          <w:sz w:val="24"/>
          <w:szCs w:val="24"/>
        </w:rPr>
        <w:t>4.5 ¿Cuál es el manejo en infiltración del SNC? ¿CAR-T versus trasplante autólogo (ideal versus real)? ¿Evidencia para mantenimiento rituximab + BTKi post-autólogo en enfermedad SNC?</w:t>
      </w:r>
    </w:p>
    <w:p w14:paraId="2127D044" w14:textId="77777777" w:rsidR="00402416" w:rsidRDefault="00A87132" w:rsidP="000433E2">
      <w:pPr>
        <w:spacing w:before="180" w:after="80"/>
        <w:jc w:val="both"/>
        <w:rPr>
          <w:b/>
          <w:bCs/>
          <w:sz w:val="20"/>
          <w:szCs w:val="20"/>
        </w:rPr>
      </w:pPr>
      <w:r>
        <w:rPr>
          <w:b/>
          <w:bCs/>
          <w:sz w:val="20"/>
          <w:szCs w:val="20"/>
        </w:rPr>
        <w:t xml:space="preserve">ESCENARIO IDEAL: </w:t>
      </w:r>
    </w:p>
    <w:p w14:paraId="7B5EABC4" w14:textId="32EF4B48" w:rsidR="00A87132" w:rsidRPr="00172E82" w:rsidRDefault="00A87132" w:rsidP="000433E2">
      <w:pPr>
        <w:spacing w:before="180" w:after="80"/>
        <w:jc w:val="both"/>
        <w:rPr>
          <w:i/>
          <w:iCs/>
        </w:rPr>
      </w:pPr>
      <w:r>
        <w:rPr>
          <w:i/>
          <w:iCs/>
        </w:rPr>
        <w:t>OFRECER CAR-T (BREXU-CEL O LISO-CEL) CON ACTIVIDAD DEMOSTRADA INCLUSO EN COMPROMISO DE SNC.</w:t>
      </w:r>
      <w:r>
        <w:rPr>
          <w:i/>
          <w:iCs/>
          <w:vertAlign w:val="superscript"/>
        </w:rPr>
        <w:t>14</w:t>
      </w:r>
      <w:r>
        <w:rPr>
          <w:i/>
          <w:iCs/>
        </w:rPr>
        <w:t xml:space="preserve"> AUTO-TPH RARA VEZ BENEFICIA A PACIENTES CON ENFERMEDAD SNC ACTIVA.</w:t>
      </w:r>
    </w:p>
    <w:p w14:paraId="6BA590C0" w14:textId="77777777" w:rsidR="00402416" w:rsidRDefault="00A87132" w:rsidP="000433E2">
      <w:pPr>
        <w:spacing w:before="180" w:after="80"/>
        <w:jc w:val="both"/>
        <w:rPr>
          <w:sz w:val="20"/>
          <w:szCs w:val="20"/>
        </w:rPr>
      </w:pPr>
      <w:r>
        <w:rPr>
          <w:b/>
          <w:bCs/>
          <w:sz w:val="20"/>
          <w:szCs w:val="20"/>
        </w:rPr>
        <w:t>REALIDAD LATINOAMERICANA SIN CAR-T:</w:t>
      </w:r>
      <w:r>
        <w:rPr>
          <w:sz w:val="20"/>
          <w:szCs w:val="20"/>
        </w:rPr>
        <w:t xml:space="preserve"> </w:t>
      </w:r>
    </w:p>
    <w:p w14:paraId="2C6C1E9C" w14:textId="78478AD2" w:rsidR="00A87132" w:rsidRPr="00172E82" w:rsidRDefault="00A87132" w:rsidP="000433E2">
      <w:pPr>
        <w:spacing w:before="180" w:after="80"/>
        <w:jc w:val="both"/>
        <w:rPr>
          <w:i/>
          <w:iCs/>
        </w:rPr>
      </w:pPr>
      <w:r>
        <w:rPr>
          <w:i/>
          <w:iCs/>
        </w:rPr>
        <w:t>IBRUTINIB ± RITUXIMAB: IBRUTINIB CRUZA LA BARRERA HEMATOENCEFÁLICA Y MEJORA LA SG VERSUS QUIMIOTERAPIA (OS MEDIANA 16,8 VS 4,4 MESES; P=0,007).</w:t>
      </w:r>
      <w:r>
        <w:rPr>
          <w:i/>
          <w:iCs/>
          <w:vertAlign w:val="superscript"/>
        </w:rPr>
        <w:t>15</w:t>
      </w:r>
      <w:r>
        <w:rPr>
          <w:i/>
          <w:iCs/>
        </w:rPr>
        <w:t xml:space="preserve"> TERAPIA INTRATECAL SEGÚN SÍNTOMAS. DERIVACIÓN REGIONAL TEMPRANA A CENTROS CON CAR-T SI ES POSIBLE.</w:t>
      </w:r>
    </w:p>
    <w:p w14:paraId="2C290F50" w14:textId="77777777" w:rsidR="00402416" w:rsidRDefault="00A87132" w:rsidP="000433E2">
      <w:pPr>
        <w:spacing w:before="180" w:after="80"/>
        <w:jc w:val="both"/>
        <w:rPr>
          <w:sz w:val="20"/>
          <w:szCs w:val="20"/>
        </w:rPr>
      </w:pPr>
      <w:r>
        <w:rPr>
          <w:b/>
          <w:bCs/>
          <w:sz w:val="20"/>
          <w:szCs w:val="20"/>
        </w:rPr>
        <w:t>MANTENIMIENTO POST-AUTO-TPH EN ENFERMEDAD SNC:</w:t>
      </w:r>
      <w:r>
        <w:rPr>
          <w:sz w:val="20"/>
          <w:szCs w:val="20"/>
        </w:rPr>
        <w:t xml:space="preserve"> </w:t>
      </w:r>
    </w:p>
    <w:p w14:paraId="7385B49C" w14:textId="2FE62BBF" w:rsidR="00A87132" w:rsidRPr="00172E82" w:rsidRDefault="00A87132" w:rsidP="000433E2">
      <w:pPr>
        <w:spacing w:before="180" w:after="80"/>
        <w:jc w:val="both"/>
        <w:rPr>
          <w:i/>
          <w:iCs/>
        </w:rPr>
      </w:pPr>
      <w:r>
        <w:rPr>
          <w:i/>
          <w:iCs/>
        </w:rPr>
        <w:t>ACTUALMENTE NO HAY EVIDENCIA ROBUSTA PARA RITUXIMAB + BTKI COMO MANTENIMIENTO POST-AUTO-TPH EN ENFERMEDAD SNC; PUEDE CONSIDERARSE INDIVIDUALMENTE O EN PROTOCOLOS CLÍNICOS.</w:t>
      </w:r>
      <w:r>
        <w:rPr>
          <w:i/>
          <w:iCs/>
          <w:vertAlign w:val="superscript"/>
        </w:rPr>
        <w:t>4</w:t>
      </w:r>
      <w:r>
        <w:rPr>
          <w:i/>
          <w:iCs/>
        </w:rPr>
        <w:t xml:space="preserve"> MRD NO ESTÁ VALIDADA AÚN PARA GUIAR DURACIÓN DEL MANTENIMIENTO.SI SE USA AUTO-TPH EN ENFERMEDAD SNC (NO RECOMENDADO), CONSIDERAR MANTENIMIENTO CON BTKI DEBIDO A SU PENETRACIÓN EN SNC.</w:t>
      </w:r>
      <w:r>
        <w:rPr>
          <w:i/>
          <w:iCs/>
          <w:vertAlign w:val="superscript"/>
        </w:rPr>
        <w:t>15</w:t>
      </w:r>
    </w:p>
    <w:p w14:paraId="10EB94ED" w14:textId="5FAD4ADC" w:rsidR="00A87132" w:rsidRPr="00172E82" w:rsidRDefault="00A87132" w:rsidP="000C6123">
      <w:pPr>
        <w:spacing w:before="220" w:after="80"/>
        <w:jc w:val="both"/>
        <w:rPr>
          <w:sz w:val="20"/>
          <w:szCs w:val="20"/>
        </w:rPr>
      </w:pPr>
      <w:r>
        <w:rPr>
          <w:b/>
          <w:bCs/>
        </w:rPr>
        <w:t xml:space="preserve">Justificación: </w:t>
      </w:r>
      <w:r>
        <w:rPr>
          <w:sz w:val="20"/>
          <w:szCs w:val="20"/>
        </w:rPr>
        <w:t>La infiltración de SNC se asocia con pronóstico muy pobre (SG mediana 3,7 meses en la mayor serie multicéntrica europea de 57 pacientes).</w:t>
      </w:r>
      <w:r>
        <w:rPr>
          <w:sz w:val="20"/>
          <w:szCs w:val="20"/>
          <w:vertAlign w:val="superscript"/>
        </w:rPr>
        <w:t>16</w:t>
      </w:r>
      <w:r>
        <w:rPr>
          <w:sz w:val="20"/>
          <w:szCs w:val="20"/>
        </w:rPr>
        <w:t xml:space="preserve"> En práctica de vida real con brexu-cel, se </w:t>
      </w:r>
      <w:r>
        <w:rPr>
          <w:sz w:val="20"/>
          <w:szCs w:val="20"/>
        </w:rPr>
        <w:lastRenderedPageBreak/>
        <w:t>han reportado respuestas en pacientes con compromiso de SNC, con una TRG del 90% y tasa de RC del 82% en la serie del consorcio Lymphoma CAR-T de EE.UU. (n=168).</w:t>
      </w:r>
      <w:r>
        <w:rPr>
          <w:sz w:val="20"/>
          <w:szCs w:val="20"/>
          <w:vertAlign w:val="superscript"/>
        </w:rPr>
        <w:t>14</w:t>
      </w:r>
      <w:r>
        <w:rPr>
          <w:sz w:val="20"/>
          <w:szCs w:val="20"/>
        </w:rPr>
        <w:t xml:space="preserve"> Auto-TPH rara vez cambia la historia natural en enfermedad SNC activa. Ibrutinib mejora significativamente la SG frente a quimioterapia convencional en LCM con recaída en SNC (SG mediana 16,8 vs 4,4 meses; p=0,007), con penetración confirmada en LCR.</w:t>
      </w:r>
      <w:r>
        <w:rPr>
          <w:sz w:val="20"/>
          <w:szCs w:val="20"/>
          <w:vertAlign w:val="superscript"/>
        </w:rPr>
        <w:t>15</w:t>
      </w:r>
      <w:r>
        <w:rPr>
          <w:sz w:val="20"/>
          <w:szCs w:val="20"/>
        </w:rPr>
        <w:t xml:space="preserve"> No hay evidencia robusta que apoye rituximab + BTKi como mantenimiento post-auto-TPH específicamente en enfermedad con SNC; rituximab tiene penetración limitada en SNC.</w:t>
      </w:r>
      <w:r>
        <w:rPr>
          <w:sz w:val="20"/>
          <w:szCs w:val="20"/>
          <w:vertAlign w:val="superscript"/>
        </w:rPr>
        <w:t>4</w:t>
      </w:r>
    </w:p>
    <w:p w14:paraId="43EC9502" w14:textId="555F724C" w:rsidR="00A87132" w:rsidRPr="00172E82" w:rsidRDefault="00A87132" w:rsidP="000C6123">
      <w:pPr>
        <w:spacing w:before="220" w:after="80"/>
        <w:jc w:val="both"/>
        <w:rPr>
          <w:sz w:val="20"/>
          <w:szCs w:val="20"/>
        </w:rPr>
      </w:pPr>
      <w:r>
        <w:rPr>
          <w:b/>
          <w:bCs/>
        </w:rPr>
        <w:t>Declaración (2C):</w:t>
      </w:r>
      <w:r>
        <w:t xml:space="preserve"> </w:t>
      </w:r>
      <w:r>
        <w:rPr>
          <w:sz w:val="20"/>
          <w:szCs w:val="20"/>
        </w:rPr>
        <w:t>Ofrecer CAR-T (Brexu-cel o Liso-cel) como opción preferida para LCM con compromiso de SNC cuando esté disponible, dada su actividad demostrada incluso en esta población de alto riesgo.</w:t>
      </w:r>
      <w:r>
        <w:rPr>
          <w:sz w:val="20"/>
          <w:szCs w:val="20"/>
          <w:vertAlign w:val="superscript"/>
        </w:rPr>
        <w:t>14</w:t>
      </w:r>
      <w:r>
        <w:rPr>
          <w:sz w:val="20"/>
          <w:szCs w:val="20"/>
        </w:rPr>
        <w:t xml:space="preserve"> En América Latina donde CAR-T no está disponible, usar ibrutinib ± rituximab (ibrutinib cruza la barrera hematoencefálica y mejora la supervivencia frente a quimioterapia) y terapia intratecal según necesidad, con derivación temprana a centros con CAR-T cuando sea posible.</w:t>
      </w:r>
      <w:r>
        <w:rPr>
          <w:sz w:val="20"/>
          <w:szCs w:val="20"/>
          <w:vertAlign w:val="superscript"/>
        </w:rPr>
        <w:t>15</w:t>
      </w:r>
      <w:r>
        <w:rPr>
          <w:sz w:val="20"/>
          <w:szCs w:val="20"/>
        </w:rPr>
        <w:t xml:space="preserve"> No se recomienda auto-TPH para enfermedad SNC activa. Hay evidencia insuficiente para recomendar mantenimiento con rituximab + BTKi post-auto-TPH específicamente para enfermedad SNC, pero puede considerarse individualmente o en protocolos clínicos, particularmente dada la penetración de BTKi en SNC.</w:t>
      </w:r>
    </w:p>
    <w:p w14:paraId="661D3D39" w14:textId="29F31BE6" w:rsidR="00A87132" w:rsidRPr="000C6123" w:rsidRDefault="00A87132" w:rsidP="00D3731D">
      <w:pPr>
        <w:spacing w:before="360" w:after="140"/>
        <w:jc w:val="both"/>
        <w:rPr>
          <w:sz w:val="24"/>
          <w:szCs w:val="24"/>
        </w:rPr>
      </w:pPr>
      <w:r>
        <w:rPr>
          <w:b/>
          <w:bCs/>
          <w:sz w:val="24"/>
          <w:szCs w:val="24"/>
        </w:rPr>
        <w:t>4.6 ¿La afectación gastrointestinal por LCM cambia el manejo?</w:t>
      </w:r>
    </w:p>
    <w:p w14:paraId="628FCA27" w14:textId="709EFD2E" w:rsidR="003D6685" w:rsidRPr="00172E82" w:rsidRDefault="00A87132" w:rsidP="000433E2">
      <w:pPr>
        <w:spacing w:after="140"/>
        <w:jc w:val="both"/>
        <w:rPr>
          <w:b/>
          <w:bCs/>
          <w:i/>
          <w:iCs/>
        </w:rPr>
      </w:pPr>
      <w:r>
        <w:rPr>
          <w:i/>
          <w:iCs/>
        </w:rPr>
        <w:t>EL LCM CON COMPROMISO EXCLUSIVO DEL TRACTO GASTROINTESTINAL (LCM-GI PRIMARIO) REPRESENTA UN SUBGRUPO BIOLÓGICA Y CLÍNICAMENTE DISTINTO DEL LCM CON COMPROMISO GASTROINTESTINAL COMO PARTE DE ENFERMEDAD SISTÉMICA. LA POLIPOSIS GASTROINTESTINAL AISLADA TIENE UN CURSO INDOLENTE CON MEDIANA DE SUPERVIVENCIA SUPERIOR A 15 AÑOS, Y MUCHOS PACIENTES PUEDEN DIFERIR LA TERAPIA BAJO UN ENFOQUE DE VIGILANCIA ACTIVA, SIMILAR AL UTILIZADO EN OTROS LINFOMAS INDOLENTES COMO EL FOLICULAR.</w:t>
      </w:r>
      <w:r>
        <w:rPr>
          <w:i/>
          <w:iCs/>
          <w:vertAlign w:val="superscript"/>
        </w:rPr>
        <w:t>1,3</w:t>
      </w:r>
    </w:p>
    <w:p w14:paraId="292C3E84" w14:textId="2A03D4E3" w:rsidR="00A87132" w:rsidRPr="00172E82" w:rsidRDefault="00A87132" w:rsidP="000C6123">
      <w:pPr>
        <w:spacing w:before="220" w:after="80"/>
        <w:jc w:val="both"/>
        <w:rPr>
          <w:sz w:val="20"/>
          <w:szCs w:val="20"/>
        </w:rPr>
      </w:pPr>
      <w:r>
        <w:rPr>
          <w:b/>
          <w:bCs/>
        </w:rPr>
        <w:t xml:space="preserve">Justificación: </w:t>
      </w:r>
      <w:r>
        <w:rPr>
          <w:sz w:val="20"/>
          <w:szCs w:val="20"/>
        </w:rPr>
        <w:t>La distinción entre LCM-GI primario y secundario es fundamental para la toma de decisiones. En una revisión de 800 casos de LCM, el LCM-GI primario (2,8% de los casos) se asoció con menor elevación de LDH y tendencia a menor MIPI que el LCM-GI secundario; la observación o terapia local fue más frecuente en el LCM-GI primario (29% vs 8%, p&lt;0,01), y la SG a 5 años fue similar entre ambos grupos (65% vs 66%), sugiriendo que la estrategia conservadora en el primario GI no compromete el pronóstico.</w:t>
      </w:r>
      <w:r>
        <w:rPr>
          <w:sz w:val="20"/>
          <w:szCs w:val="20"/>
          <w:vertAlign w:val="superscript"/>
        </w:rPr>
        <w:t>2</w:t>
      </w:r>
      <w:r>
        <w:rPr>
          <w:sz w:val="20"/>
          <w:szCs w:val="20"/>
        </w:rPr>
        <w:t xml:space="preserve"> En la serie del Memorial Sloan Kettering (Abramson et al., Blood Advances 2019, n=404), la enfermedad limitada al tracto GI fue una de las tres categorías clínicas manejadas exitosamente con observación durante dos años o más. La mediana de SG en el grupo observado fue de 11,4 años versus 9,4 años en el grupo tratado precozmente, confirmando que la vigilancia activa no compromete los resultados.</w:t>
      </w:r>
      <w:r>
        <w:rPr>
          <w:sz w:val="20"/>
          <w:szCs w:val="20"/>
          <w:vertAlign w:val="superscript"/>
        </w:rPr>
        <w:t>3</w:t>
      </w:r>
      <w:r>
        <w:rPr>
          <w:sz w:val="20"/>
          <w:szCs w:val="20"/>
        </w:rPr>
        <w:t xml:space="preserve"> Los criterios que favorecen la observación en LCM-GI primario incluyen: ausencia de síntomas constitucionales, LDH normal, beta-2 microglobulina normal, Ki-67 bajo (&lt;30%), histología no blastoide, ausencia de compresión orgánica significativa y sin falla medular progresiva.</w:t>
      </w:r>
      <w:r>
        <w:rPr>
          <w:sz w:val="20"/>
          <w:szCs w:val="20"/>
          <w:vertAlign w:val="superscript"/>
        </w:rPr>
        <w:t>1,3,4</w:t>
      </w:r>
      <w:r>
        <w:rPr>
          <w:sz w:val="20"/>
          <w:szCs w:val="20"/>
        </w:rPr>
        <w:t xml:space="preserve"> La radioterapia de campo involucrado puede considerarse en casos excepcionales de enfermedad verdaderamente localizada estadio I sin enfermedad voluminosa, aunque la evidencia es muy limitada y proviene de series pequeñas retrospectivas; no existe ensayo prospectivo que valide esta estrategia en LCM.</w:t>
      </w:r>
      <w:r>
        <w:rPr>
          <w:sz w:val="20"/>
          <w:szCs w:val="20"/>
          <w:vertAlign w:val="superscript"/>
        </w:rPr>
        <w:t>4</w:t>
      </w:r>
      <w:r>
        <w:rPr>
          <w:sz w:val="20"/>
          <w:szCs w:val="20"/>
        </w:rPr>
        <w:t xml:space="preserve"> El LCM con compromiso GI como parte de enfermedad sistémica — definido por la coexistencia de adenopatías no regionales, hígado, bazo, médula ósea u otras localizaciones extraganglionares — debe manejarse según las características de la enfermedad sistémica y no del compromiso GI per se.</w:t>
      </w:r>
      <w:r>
        <w:rPr>
          <w:sz w:val="20"/>
          <w:szCs w:val="20"/>
          <w:vertAlign w:val="superscript"/>
        </w:rPr>
        <w:t>2</w:t>
      </w:r>
      <w:r>
        <w:rPr>
          <w:sz w:val="20"/>
          <w:szCs w:val="20"/>
        </w:rPr>
        <w:t xml:space="preserve"> En este contexto, el compromiso GI no modifica los resultados oncológicos ni debe condicionar un cambio en la estrategia terapéutica sistémica. La endoscopía resulta útil para estadificación completa y seguimiento, dado que hasta un 31% de las lesiones GI no son detectables por TC ni PET-CT y cinco de cada quince recurrencias en un estudio prospectivo fueron detectadas exclusivamente por endoscopía.</w:t>
      </w:r>
      <w:r>
        <w:rPr>
          <w:sz w:val="20"/>
          <w:szCs w:val="20"/>
          <w:vertAlign w:val="superscript"/>
        </w:rPr>
        <w:t>5</w:t>
      </w:r>
    </w:p>
    <w:p w14:paraId="0CFE4D77" w14:textId="6DC3D7F2" w:rsidR="00A87132" w:rsidRPr="00172E82" w:rsidRDefault="00A87132" w:rsidP="000C6123">
      <w:pPr>
        <w:spacing w:before="220" w:after="80"/>
        <w:jc w:val="both"/>
        <w:rPr>
          <w:sz w:val="20"/>
          <w:szCs w:val="20"/>
        </w:rPr>
      </w:pPr>
      <w:r>
        <w:rPr>
          <w:b/>
          <w:bCs/>
        </w:rPr>
        <w:lastRenderedPageBreak/>
        <w:t xml:space="preserve">Declaración (2B): </w:t>
      </w:r>
      <w:r>
        <w:rPr>
          <w:sz w:val="20"/>
          <w:szCs w:val="20"/>
        </w:rPr>
        <w:t>Distinguir el LCM con compromiso exclusivo del tracto GI (LCM-GI primario) de aquel con compromiso GI como parte de enfermedad sistémica, ya que su manejo es radicalmente diferente:</w:t>
      </w:r>
    </w:p>
    <w:p w14:paraId="4137769F" w14:textId="19D6ECE9" w:rsidR="00D3731D" w:rsidRPr="00402416" w:rsidRDefault="00A87132" w:rsidP="00D3731D">
      <w:pPr>
        <w:spacing w:after="140"/>
        <w:ind w:left="400"/>
        <w:jc w:val="both"/>
      </w:pPr>
      <w:r>
        <w:rPr>
          <w:b/>
          <w:bCs/>
        </w:rPr>
        <w:t>LCM-GI primario</w:t>
      </w:r>
      <w:r>
        <w:rPr>
          <w:sz w:val="20"/>
          <w:szCs w:val="20"/>
        </w:rPr>
        <w:t>: En pacientes asintomáticos sin criterios de tratamiento, la observación activa es la estrategia de elección, con mediana de supervivencia superior a 15 años.</w:t>
      </w:r>
      <w:r>
        <w:rPr>
          <w:sz w:val="20"/>
          <w:szCs w:val="20"/>
          <w:vertAlign w:val="superscript"/>
        </w:rPr>
        <w:t>3</w:t>
      </w:r>
      <w:r>
        <w:rPr>
          <w:sz w:val="20"/>
          <w:szCs w:val="20"/>
        </w:rPr>
        <w:t xml:space="preserve"> La radioterapia de campo involucrado puede discutirse en casos verdaderamente</w:t>
      </w:r>
      <w:r>
        <w:t xml:space="preserve"> localizados estadio I.</w:t>
      </w:r>
      <w:r>
        <w:rPr>
          <w:vertAlign w:val="superscript"/>
        </w:rPr>
        <w:t>4</w:t>
      </w:r>
      <w:r>
        <w:t xml:space="preserve"> El </w:t>
      </w:r>
      <w:r>
        <w:rPr>
          <w:sz w:val="20"/>
          <w:szCs w:val="20"/>
        </w:rPr>
        <w:t>inicio de tratamiento sistémico se reserva para síntomas significativos, progresión documentada, obstrucción, sangrado o aparición de criterios de alto riesgo (Ki-67 ≥30%, histología blastoide, mutación TP53).</w:t>
      </w:r>
      <w:r>
        <w:rPr>
          <w:sz w:val="20"/>
          <w:szCs w:val="20"/>
          <w:vertAlign w:val="superscript"/>
        </w:rPr>
        <w:t>1,4,27</w:t>
      </w:r>
    </w:p>
    <w:p w14:paraId="12224C84" w14:textId="4BD67E99" w:rsidR="00D3731D" w:rsidRPr="00172E82" w:rsidRDefault="00A87132" w:rsidP="00D3731D">
      <w:pPr>
        <w:spacing w:after="140"/>
        <w:ind w:left="400"/>
        <w:jc w:val="both"/>
        <w:rPr>
          <w:sz w:val="20"/>
          <w:szCs w:val="20"/>
        </w:rPr>
      </w:pPr>
      <w:r>
        <w:rPr>
          <w:b/>
          <w:bCs/>
        </w:rPr>
        <w:t>LCM con compromiso GI secundario</w:t>
      </w:r>
      <w:r>
        <w:t xml:space="preserve">: </w:t>
      </w:r>
      <w:r>
        <w:rPr>
          <w:sz w:val="20"/>
          <w:szCs w:val="20"/>
        </w:rPr>
        <w:t>El compromiso GI no modifica la estrategia terapéutica. El manejo se basa exclusivamente en las características de la enfermedad sistémica — MIPI, Ki-67, TP53, aptitud para trasplante — independientemente de la extensión o forma de presentación GI.</w:t>
      </w:r>
      <w:r>
        <w:rPr>
          <w:sz w:val="20"/>
          <w:szCs w:val="20"/>
          <w:vertAlign w:val="superscript"/>
        </w:rPr>
        <w:t>2</w:t>
      </w:r>
    </w:p>
    <w:p w14:paraId="4AEDA90A" w14:textId="17617DC2" w:rsidR="00A87132" w:rsidRPr="004F4119" w:rsidRDefault="00A87132" w:rsidP="000433E2">
      <w:pPr>
        <w:spacing w:before="60" w:after="60" w:line="260" w:lineRule="auto"/>
        <w:ind w:left="360" w:hanging="360"/>
        <w:jc w:val="both"/>
        <w:rPr>
          <w:b/>
          <w:bCs/>
          <w:color w:val="444444"/>
          <w:sz w:val="18"/>
          <w:szCs w:val="18"/>
          <w:lang w:val="es-VE"/>
        </w:rPr>
      </w:pPr>
      <w:r>
        <w:rPr>
          <w:b/>
          <w:bCs/>
          <w:color w:val="444444"/>
          <w:sz w:val="18"/>
          <w:szCs w:val="18"/>
          <w:lang w:val="es-VE"/>
        </w:rPr>
        <w:t>Bibliografía</w:t>
      </w:r>
    </w:p>
    <w:p w14:paraId="1A7AAE97" w14:textId="4AC77C85"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s-VE"/>
        </w:rPr>
        <w:t xml:space="preserve">1. National Cancer Institute (NCI/PDQ). </w:t>
      </w:r>
      <w:r>
        <w:rPr>
          <w:color w:val="444444"/>
          <w:sz w:val="18"/>
          <w:szCs w:val="18"/>
          <w:lang w:val="en-US"/>
        </w:rPr>
        <w:t>Mantle Cell Lymphoma Treatment. Cancer.gov. 2024.</w:t>
      </w:r>
    </w:p>
    <w:p w14:paraId="6F88950B"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2. Castellino A, Tun AM, Wang Y, et al. Clinical characteristics and outcomes of primary versus secondary gastrointestinal mantle cell lymphoma. Blood Cancer J. 2021;11(1):8.</w:t>
      </w:r>
    </w:p>
    <w:p w14:paraId="65CABE0E" w14:textId="77777777" w:rsidR="00A87132" w:rsidRPr="004F4119" w:rsidRDefault="00A87132" w:rsidP="000433E2">
      <w:pPr>
        <w:spacing w:before="60" w:after="60" w:line="260" w:lineRule="auto"/>
        <w:ind w:left="360" w:hanging="360"/>
        <w:jc w:val="both"/>
        <w:rPr>
          <w:color w:val="444444"/>
          <w:sz w:val="18"/>
          <w:szCs w:val="18"/>
          <w:lang w:val="es-VE"/>
        </w:rPr>
      </w:pPr>
      <w:r>
        <w:rPr>
          <w:color w:val="444444"/>
          <w:sz w:val="18"/>
          <w:szCs w:val="18"/>
          <w:lang w:val="en-US"/>
        </w:rPr>
        <w:t xml:space="preserve">3. Abramson JS, Cherniawsky H, Kaplan JB, et al. Clinical presentation determines selection of patients for initial observation in mantle cell lymphoma. </w:t>
      </w:r>
      <w:r>
        <w:rPr>
          <w:color w:val="444444"/>
          <w:sz w:val="18"/>
          <w:szCs w:val="18"/>
          <w:lang w:val="es-VE"/>
        </w:rPr>
        <w:t>Blood Adv. 2019;3(7):1010–1018.</w:t>
      </w:r>
    </w:p>
    <w:p w14:paraId="2DEA110E"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s-VE"/>
        </w:rPr>
        <w:t xml:space="preserve">4. Dreyling M, Campo E, Hermine O, et al. </w:t>
      </w:r>
      <w:r>
        <w:rPr>
          <w:color w:val="444444"/>
          <w:sz w:val="18"/>
          <w:szCs w:val="18"/>
          <w:lang w:val="en-US"/>
        </w:rPr>
        <w:t>ESMO Clinical Practice Guidelines for MCL. Ann Oncol. 2024;35(4):321–337.</w:t>
      </w:r>
    </w:p>
    <w:p w14:paraId="079D0421"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5. Kim SH, Lee H, Park SJ, et al. Mantle cell lymphoma with gastrointestinal involvement and the role of endoscopic examinations. PLoS One. 2020;15(9):e0239740.</w:t>
      </w:r>
    </w:p>
    <w:p w14:paraId="2DB428C0"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6. Jain P, Wang M. High-risk MCL: recognition and treatment. Blood. 2025;145(7):683–695.</w:t>
      </w:r>
    </w:p>
    <w:p w14:paraId="738C2184"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8. Eskelund CW, Dahl C, Hansen JW, et al. TP53 mutations identify younger mantle cell lymphoma patients who do not benefit from intensive chemoimmunotherapy. Blood. 2017;130(17):1903–1910. doi:10.1182/blood-2017-04-779736</w:t>
      </w:r>
    </w:p>
    <w:p w14:paraId="61EEC800"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9. Song Y, Zhou K, Zou D, et al. Zanubrutinib in relapsed/refractory mantle cell lymphoma: long-term efficacy and safety results from a phase 2 study. Blood. 2022;139(21):3148–3158. doi:10.1182/blood.2021013659</w:t>
      </w:r>
    </w:p>
    <w:p w14:paraId="207B9C5E"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10. Wang M, Jurczak W, Trneny M, et al. Ibrutinib plus venetoclax in relapsed or refractory mantle cell lymphoma (SYMPATICO): a multicentre, randomised, double-blind, placebo-controlled, phase 3 study. Lancet Oncol. 2025;26(2):200–213. doi:10.1016/S1470-2045(24)00682-X</w:t>
      </w:r>
    </w:p>
    <w:p w14:paraId="412A78FF"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11. Shah NN, Jurczak W, Zinzani PL, et al. Pirtobrutinib in covalent BTK-inhibitor pre-treated mantle cell lymphoma: updated results from the phase 1/2 BRUIN study with &gt;3 years follow-up. J Clin Oncol. 2023;41(suppl 16):7514.</w:t>
      </w:r>
    </w:p>
    <w:p w14:paraId="1570A6FB"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12. Wang M, Munoz J, Goy A, et al. Three-year follow-up of KTE-X19 in patients with relapsed/refractory mantle cell lymphoma, including high-risk subgroups, in the ZUMA-2 study. J Clin Oncol. 2023;41(3):555–567. doi:10.1200/JCO.22.01125</w:t>
      </w:r>
    </w:p>
    <w:p w14:paraId="1DC2A495"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13. Jain P, Wang ML. Mantle cell lymphoma: 2022 – a comprehensive update on molecular pathogenesis, risk stratification, clinical approach, and current and novel treatments. Am J Hematol. 2022;97(6):638–657. doi:10.1002/ajh.26523</w:t>
      </w:r>
    </w:p>
    <w:p w14:paraId="4F30A0D9"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14. Wang Y, Jain P, Locke FL, et al. Brexucabtagene autoleucel for relapsed or refractory mantle cell lymphoma in standard-of-care practice: results from the US Lymphoma CAR T Consortium. J Clin Oncol. 2023;41(14):2594–2606. doi:10.1200/JCO.22.01797</w:t>
      </w:r>
    </w:p>
    <w:p w14:paraId="179791EE"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15. Rusconi C, Cheah CY, Eyre TA, et al.; Fondazione Italiana Linfomi and European MCL Network. Ibrutinib improves survival compared with chemotherapy in mantle cell lymphoma with central nervous system relapse. Blood. 2022;140(17):1907–1916. doi:10.1182/blood.2022015478</w:t>
      </w:r>
    </w:p>
    <w:p w14:paraId="2CC61CEC" w14:textId="77777777" w:rsidR="00A87132" w:rsidRPr="000433E2" w:rsidRDefault="00A87132" w:rsidP="000433E2">
      <w:pPr>
        <w:spacing w:before="60" w:after="60" w:line="260" w:lineRule="auto"/>
        <w:ind w:left="360" w:hanging="360"/>
        <w:jc w:val="both"/>
        <w:rPr>
          <w:color w:val="444444"/>
          <w:sz w:val="18"/>
          <w:szCs w:val="18"/>
          <w:lang w:val="en-US"/>
        </w:rPr>
      </w:pPr>
      <w:r>
        <w:rPr>
          <w:color w:val="444444"/>
          <w:sz w:val="18"/>
          <w:szCs w:val="18"/>
          <w:lang w:val="en-US"/>
        </w:rPr>
        <w:t>16. Cheah CY, George A, Giné E, et al.; European Mantle Cell Lymphoma Network. Central nervous system involvement in mantle cell lymphoma: clinical features, prognostic factors and outcomes from the European Mantle Cell Lymphoma Network. Ann Oncol. 2013;24(7):1908–1915. doi:10.1093/annonc/mdt139</w:t>
      </w:r>
    </w:p>
    <w:p w14:paraId="3CA8FD7B" w14:textId="09769F9A" w:rsidR="00777457" w:rsidRPr="004F4119" w:rsidRDefault="00A87132" w:rsidP="000433E2">
      <w:pPr>
        <w:spacing w:before="60" w:after="60" w:line="260" w:lineRule="auto"/>
        <w:ind w:left="360" w:hanging="360"/>
        <w:jc w:val="both"/>
        <w:rPr>
          <w:color w:val="444444"/>
          <w:sz w:val="18"/>
          <w:szCs w:val="18"/>
          <w:lang w:val="es-VE"/>
        </w:rPr>
      </w:pPr>
      <w:r>
        <w:rPr>
          <w:color w:val="444444"/>
          <w:sz w:val="18"/>
          <w:szCs w:val="18"/>
          <w:lang w:val="en-US"/>
        </w:rPr>
        <w:t xml:space="preserve">27. Epperla N, Switchenko JM, Geyer SM, et al. Ki-67 expression of 50% is the optimal cut-off to predict survival outcomes in mantle cell lymphoma: a pooled analysis from CALGB 50403 (Alliance) and MCL Real-World Study Cohort. </w:t>
      </w:r>
      <w:r>
        <w:rPr>
          <w:color w:val="444444"/>
          <w:sz w:val="18"/>
          <w:szCs w:val="18"/>
          <w:lang w:val="es-VE"/>
        </w:rPr>
        <w:t>Blood. 2023;142(Suppl 1).</w:t>
      </w:r>
    </w:p>
    <w:p w14:paraId="000000A6" w14:textId="77777777" w:rsidR="00205D31" w:rsidRPr="000C6123" w:rsidRDefault="00000000" w:rsidP="00D3731D">
      <w:pPr>
        <w:pStyle w:val="Ttulo2"/>
        <w:keepNext w:val="0"/>
        <w:keepLines w:val="0"/>
        <w:spacing w:after="80"/>
        <w:jc w:val="both"/>
        <w:rPr>
          <w:b/>
          <w:sz w:val="24"/>
          <w:szCs w:val="24"/>
        </w:rPr>
      </w:pPr>
      <w:bookmarkStart w:id="18" w:name="_heading=h.uluavrv6557" w:colFirst="0" w:colLast="0"/>
      <w:bookmarkStart w:id="19" w:name="_heading=h.p2cgakl92jbj" w:colFirst="0" w:colLast="0"/>
      <w:bookmarkStart w:id="20" w:name="_heading=h.phglqqadnrvz" w:colFirst="0" w:colLast="0"/>
      <w:bookmarkStart w:id="21" w:name="_heading=h.13mv699k9p45" w:colFirst="0" w:colLast="0"/>
      <w:bookmarkEnd w:id="18"/>
      <w:bookmarkEnd w:id="19"/>
      <w:bookmarkEnd w:id="20"/>
      <w:bookmarkEnd w:id="21"/>
      <w:r>
        <w:rPr>
          <w:b/>
          <w:sz w:val="24"/>
          <w:szCs w:val="24"/>
        </w:rPr>
        <w:lastRenderedPageBreak/>
        <w:t>5. SEGUIMIENTO Y MANEJO DE RECAÍDA</w:t>
      </w:r>
    </w:p>
    <w:p w14:paraId="000000A7" w14:textId="383A06C9" w:rsidR="00205D31" w:rsidRPr="00EA2FA6" w:rsidRDefault="00000000" w:rsidP="00D3731D">
      <w:pPr>
        <w:spacing w:before="240" w:after="240"/>
        <w:jc w:val="both"/>
        <w:rPr>
          <w:sz w:val="24"/>
          <w:szCs w:val="24"/>
        </w:rPr>
      </w:pPr>
      <w:r>
        <w:rPr>
          <w:b/>
        </w:rPr>
        <w:t xml:space="preserve"> </w:t>
      </w:r>
      <w:r>
        <w:rPr>
          <w:b/>
          <w:sz w:val="24"/>
          <w:szCs w:val="24"/>
        </w:rPr>
        <w:t>Dr. José Sandoval-Sus (USA), Dra. Lorena Fiad (Argentina), Dr. Raymundo Gazitúa (Chile)</w:t>
      </w:r>
    </w:p>
    <w:p w14:paraId="458AB508" w14:textId="4A7D756B" w:rsidR="004B40E4" w:rsidRPr="000C6123" w:rsidRDefault="00000000" w:rsidP="00D3731D">
      <w:pPr>
        <w:spacing w:before="240" w:after="240"/>
        <w:jc w:val="both"/>
        <w:rPr>
          <w:i/>
          <w:sz w:val="24"/>
          <w:szCs w:val="24"/>
        </w:rPr>
      </w:pPr>
      <w:bookmarkStart w:id="22" w:name="_heading=h.6cntpkmjmqe8" w:colFirst="0" w:colLast="0"/>
      <w:bookmarkEnd w:id="22"/>
      <w:r>
        <w:rPr>
          <w:b/>
          <w:color w:val="000000"/>
          <w:sz w:val="24"/>
          <w:szCs w:val="24"/>
        </w:rPr>
        <w:t xml:space="preserve">5.1 ¿Cuál es el régimen de tratamiento preferido en primera recaída según el tiempo de recaída (&lt;24 meses vs &gt;24 meses)? </w:t>
      </w:r>
    </w:p>
    <w:p w14:paraId="463D4442" w14:textId="3E0AFA99" w:rsidR="004B40E4" w:rsidRPr="004B40E4" w:rsidRDefault="004B40E4" w:rsidP="00D3731D">
      <w:pPr>
        <w:spacing w:before="240" w:after="240"/>
        <w:jc w:val="both"/>
        <w:rPr>
          <w:i/>
        </w:rPr>
      </w:pPr>
      <w:r>
        <w:rPr>
          <w:i/>
        </w:rPr>
        <w:t>ANTE TODA SOSPECHA DE RECAÍDA: NUEVA BIOPSIA PARA CONFIRMAR DIAGNÓSTICO, CARACTERIZAR MORFOLOGÍA, EVALUAR KI-67% Y DETERMINAR ESTADO DE TP53.</w:t>
      </w:r>
      <w:r>
        <w:rPr>
          <w:i/>
          <w:vertAlign w:val="superscript"/>
        </w:rPr>
        <w:t>1,2</w:t>
      </w:r>
      <w:r>
        <w:rPr>
          <w:i/>
        </w:rPr>
        <w:t xml:space="preserve"> SIN NGS DISPONIBLE: IHQ P53 ≥50% ES EL MÍNIMO ACEPTABLE EN LATAM.2 LA IDENTIFICACIÓN DE TP53+ EN RECAÍDA MODIFICA RADICALMENTE LA ESTRATEGIA TERAPÉUTICA.</w:t>
      </w:r>
    </w:p>
    <w:p w14:paraId="295D1109" w14:textId="70D2F19C" w:rsidR="004B40E4" w:rsidRPr="004B40E4" w:rsidRDefault="004B40E4" w:rsidP="00D3731D">
      <w:pPr>
        <w:spacing w:before="240" w:after="240"/>
        <w:jc w:val="both"/>
        <w:rPr>
          <w:i/>
        </w:rPr>
      </w:pPr>
      <w:r>
        <w:rPr>
          <w:i/>
        </w:rPr>
        <w:t>A</w:t>
      </w:r>
      <w:r>
        <w:rPr>
          <w:i/>
          <w:u w:val="single"/>
        </w:rPr>
        <w:t>) ENFERMEDAD REFRACTARIA (SIN RESPUESTA A LA ÚLTIMA LÍNEA</w:t>
      </w:r>
      <w:r>
        <w:rPr>
          <w:i/>
        </w:rPr>
        <w:t>): ESCENARIO DE MAYOR URGENCIA Y PEOR PRONÓSTICO. LA QUIMIOINMUNOTERAPIA CONVENCIONAL NO DEBE REPETIRSE.</w:t>
      </w:r>
      <w:r>
        <w:rPr>
          <w:i/>
          <w:vertAlign w:val="superscript"/>
        </w:rPr>
        <w:t>13</w:t>
      </w:r>
      <w:r>
        <w:rPr>
          <w:i/>
        </w:rPr>
        <w:t xml:space="preserve"> REFERIR URGENTE A CENTRO CON CAR-T O ENSAYO CLÍNICO. SI BLASTOIDE O TP53+: VER RAMA DE ALTO RIESGO MÁS ABAJO. </w:t>
      </w:r>
      <w:r>
        <w:rPr>
          <w:b/>
          <w:bCs/>
          <w:i/>
        </w:rPr>
        <w:t>LATAM SIN CAR-T:</w:t>
      </w:r>
      <w:r>
        <w:rPr>
          <w:i/>
        </w:rPr>
        <w:t xml:space="preserve"> </w:t>
      </w:r>
      <w:r>
        <w:rPr>
          <w:i/>
          <w:caps/>
        </w:rPr>
        <w:t>ensayo clínico como primera opción; anticuerpos bispecíficos ± ADCs si disponibles;</w:t>
      </w:r>
      <w:r>
        <w:rPr>
          <w:i/>
          <w:caps/>
          <w:vertAlign w:val="superscript"/>
        </w:rPr>
        <w:t>14</w:t>
      </w:r>
      <w:r>
        <w:rPr>
          <w:i/>
          <w:caps/>
        </w:rPr>
        <w:t xml:space="preserve"> pirtobrutinib si nunca recibió cBTKi; venetoclax. Alo-TPH en pacientes jóvenes/aptos que logren RC/RP.</w:t>
      </w:r>
      <w:r>
        <w:rPr>
          <w:i/>
          <w:caps/>
          <w:vertAlign w:val="superscript"/>
        </w:rPr>
        <w:t>12</w:t>
      </w:r>
    </w:p>
    <w:p w14:paraId="258ABF32" w14:textId="6464EFDC" w:rsidR="004B40E4" w:rsidRPr="004B40E4" w:rsidRDefault="004B40E4" w:rsidP="00D3731D">
      <w:pPr>
        <w:spacing w:before="240" w:after="240"/>
        <w:jc w:val="both"/>
        <w:rPr>
          <w:i/>
        </w:rPr>
      </w:pPr>
      <w:r>
        <w:rPr>
          <w:i/>
          <w:u w:val="single"/>
        </w:rPr>
        <w:t>B) RECAÍDA TEMPRANA (POD24 POSITIVO)</w:t>
      </w:r>
      <w:r>
        <w:rPr>
          <w:i/>
        </w:rPr>
        <w:t>: PROGRESIÓN DENTRO DE LOS 24 MESES): PRONÓSTICO ADVERSO. ALTA PROBABILIDAD DE BIOLOGÍA AGRESIVA SUBYACENTE. EVALUAR URGENTE SI HAY HISTOLOGÍA BLASTOIDE, TP53+, KI-67 ≥50%.</w:t>
      </w:r>
      <w:r>
        <w:rPr>
          <w:i/>
          <w:vertAlign w:val="superscript"/>
        </w:rPr>
        <w:t>1,2</w:t>
      </w:r>
      <w:r>
        <w:rPr>
          <w:i/>
        </w:rPr>
        <w:t xml:space="preserve"> LA ESTRATEGIA DEPENDE DEL BTKI PREVIO, VER PREGUNTA 2.</w:t>
      </w:r>
    </w:p>
    <w:p w14:paraId="12ABE255" w14:textId="39620E28" w:rsidR="004B40E4" w:rsidRPr="004B40E4" w:rsidRDefault="004B40E4" w:rsidP="00D3731D">
      <w:pPr>
        <w:spacing w:before="240" w:after="240"/>
        <w:jc w:val="both"/>
        <w:rPr>
          <w:i/>
        </w:rPr>
      </w:pPr>
      <w:r>
        <w:rPr>
          <w:i/>
          <w:u w:val="single"/>
        </w:rPr>
        <w:t>C) RECAÍDA TARDÍA (POD24 NEGATIVO</w:t>
      </w:r>
      <w:r>
        <w:rPr>
          <w:i/>
        </w:rPr>
        <w:t>; PROGRESIÓN DESPUÉS DE LOS 24 MESES): PERFIL BIOLÓGICO MÁS FAVORABLE. MAYOR PROBABILIDAD DE RESPUESTA A NUEVAS LÍNEAS.</w:t>
      </w:r>
      <w:r>
        <w:rPr>
          <w:i/>
          <w:vertAlign w:val="superscript"/>
        </w:rPr>
        <w:t>3</w:t>
      </w:r>
      <w:r>
        <w:rPr>
          <w:i/>
        </w:rPr>
        <w:t xml:space="preserve"> LA ESTRATEGIA DEPENDE DEL BTKI PREVIO, VER PREGUNTA 2. NOTA: EN LCM, INCLUSO LA RECAÍDA TARDÍA REQUIERE TRATAMIENTO EN PACIENTES SINTOMÁTICOS O CON PROGRESIÓN DOCUMENTADA</w:t>
      </w:r>
    </w:p>
    <w:p w14:paraId="6E3651EB" w14:textId="64B1B4DD" w:rsidR="004B40E4" w:rsidRPr="004B40E4" w:rsidRDefault="004B40E4" w:rsidP="00D3731D">
      <w:pPr>
        <w:spacing w:before="240" w:after="240"/>
        <w:jc w:val="both"/>
        <w:rPr>
          <w:i/>
        </w:rPr>
      </w:pPr>
      <w:r>
        <w:rPr>
          <w:i/>
        </w:rPr>
        <w:t>¿EL PACIENTE RECIBIÓ BTKI EN PRIMERA LÍNEA?</w:t>
      </w:r>
      <w:r>
        <w:rPr>
          <w:i/>
          <w:u w:val="single"/>
        </w:rPr>
        <w:t>NO RECIBIÓ BTKI</w:t>
      </w:r>
      <w:r>
        <w:rPr>
          <w:i/>
        </w:rPr>
        <w:t>: BTKI CONTINUO COMO PRIMERA OPCIÓN EN SEGUNDA LÍNEA (ZANUBRUTINIB O ACALABRUTINIB PREFERIDOS; IBRUTINIB SI LOS ANTERIORES NO DISPONIBLES).</w:t>
      </w:r>
      <w:r>
        <w:rPr>
          <w:i/>
          <w:vertAlign w:val="superscript"/>
        </w:rPr>
        <w:t>3,4</w:t>
      </w:r>
      <w:r>
        <w:rPr>
          <w:i/>
        </w:rPr>
        <w:t>SELECCIÓN POR COMORBILIDADES, INTERACCIONES, DISPONIBILIDAD Y COSTOS.</w:t>
      </w:r>
    </w:p>
    <w:p w14:paraId="5CC28D6B" w14:textId="27476A60" w:rsidR="004B40E4" w:rsidRPr="004B40E4" w:rsidRDefault="004B40E4" w:rsidP="00D3731D">
      <w:pPr>
        <w:spacing w:before="240" w:after="240"/>
        <w:jc w:val="both"/>
        <w:rPr>
          <w:i/>
        </w:rPr>
      </w:pPr>
      <w:r>
        <w:rPr>
          <w:i/>
          <w:u w:val="single"/>
        </w:rPr>
        <w:t>EN RECAÍDA TEMPRANA (POD24+) CON ALTO RIESGO (TP53+, BLASTOIDE, KI-67 ≥50%):</w:t>
      </w:r>
      <w:r>
        <w:rPr>
          <w:i/>
        </w:rPr>
        <w:t xml:space="preserve"> PREFERIR IBRUTINIB + VENETOCLAX POR 24 CICLOS SEGUIDO DE IBRUTINIB INDEFINIDO.5 CONSIDERAR REFERENCIA PRECOZ PARA CAR-T.</w:t>
      </w:r>
      <w:r>
        <w:rPr>
          <w:i/>
          <w:vertAlign w:val="superscript"/>
        </w:rPr>
        <w:t>6</w:t>
      </w:r>
      <w:r>
        <w:rPr>
          <w:i/>
        </w:rPr>
        <w:t xml:space="preserve"> </w:t>
      </w:r>
      <w:r>
        <w:rPr>
          <w:b/>
          <w:bCs/>
          <w:i/>
          <w:caps/>
        </w:rPr>
        <w:t>LATAM  SIN  acceso a BTKi:</w:t>
      </w:r>
      <w:r>
        <w:rPr>
          <w:i/>
          <w:caps/>
        </w:rPr>
        <w:t xml:space="preserve"> quimioinmunoterapia sin resistencia cruzada: R-Bendamustina (RB) o R-BAC (rituximab + bendamustina + citarabina).</w:t>
      </w:r>
      <w:r>
        <w:rPr>
          <w:i/>
          <w:caps/>
          <w:vertAlign w:val="superscript"/>
        </w:rPr>
        <w:t>10</w:t>
      </w:r>
      <w:r>
        <w:rPr>
          <w:i/>
          <w:caps/>
        </w:rPr>
        <w:t xml:space="preserve"> En pacientes jóvenes/aptos que logren buena respuesta, considerar auto-TPH de consolidación si TP53 negativo.</w:t>
      </w:r>
      <w:r>
        <w:rPr>
          <w:i/>
          <w:caps/>
          <w:vertAlign w:val="superscript"/>
        </w:rPr>
        <w:t>11</w:t>
      </w:r>
    </w:p>
    <w:p w14:paraId="3DC3E693" w14:textId="06755B41" w:rsidR="004B40E4" w:rsidRPr="004B40E4" w:rsidRDefault="004B40E4" w:rsidP="00D3731D">
      <w:pPr>
        <w:spacing w:before="240" w:after="240"/>
        <w:jc w:val="both"/>
        <w:rPr>
          <w:i/>
        </w:rPr>
      </w:pPr>
      <w:r>
        <w:rPr>
          <w:i/>
          <w:u w:val="single"/>
        </w:rPr>
        <w:t>SÍ RECIBIÓ BTKI</w:t>
      </w:r>
      <w:r>
        <w:rPr>
          <w:i/>
        </w:rPr>
        <w:t xml:space="preserve">:  EL BTKI YA NO ES LA SOLUCIÓN SI HUBO PROGRESIÓN EN BTKI. DISTINGUIR EL ESCENARIO PRECISO:  PROGRESIÓN EN BTKI CONTINUO </w:t>
      </w:r>
      <w:r>
        <w:rPr>
          <w:i/>
        </w:rPr>
        <w:lastRenderedPageBreak/>
        <w:t>(REFRACTARIO O POD24+): CAR-T COMO PRIMERA OPCIÓN (BREXUCABTAGENE AUTOLEUCEL O LISOCABTAGENE MARALEUCEL; EFICACIA INDEPENDIENTE DE TP53).</w:t>
      </w:r>
      <w:r>
        <w:rPr>
          <w:i/>
          <w:vertAlign w:val="superscript"/>
        </w:rPr>
        <w:t>6,7</w:t>
      </w:r>
      <w:r>
        <w:rPr>
          <w:i/>
        </w:rPr>
        <w:t xml:space="preserve"> ALTERNATIVAS: PIRTOBRUTINIB (NCBTKI),</w:t>
      </w:r>
      <w:r>
        <w:rPr>
          <w:i/>
          <w:vertAlign w:val="superscript"/>
        </w:rPr>
        <w:t>8</w:t>
      </w:r>
      <w:r>
        <w:rPr>
          <w:i/>
        </w:rPr>
        <w:t xml:space="preserve"> VENETOCLAX ± RITUXIMAB.</w:t>
      </w:r>
      <w:r>
        <w:rPr>
          <w:i/>
          <w:vertAlign w:val="superscript"/>
        </w:rPr>
        <w:t>9</w:t>
      </w:r>
      <w:r>
        <w:rPr>
          <w:i/>
        </w:rPr>
        <w:t>. BTKI FINITO POR PROTOCOLO O SUSPENDIDO POR TOXICIDAD, SIN PROGRESIÓN EN BTKI: NO IMPLICA RESISTENCIA FARMACOLÓGICA. RECONSIDERAR CBTKI ± VENETOCLAX; SI TOXICIDAD PREVIA A IBRUTINIB, CAMBIAR A ACALABRUTINIB O ZANUBRUTINIB.</w:t>
      </w:r>
      <w:r>
        <w:rPr>
          <w:i/>
          <w:vertAlign w:val="superscript"/>
        </w:rPr>
        <w:t>3,5</w:t>
      </w:r>
      <w:r>
        <w:rPr>
          <w:i/>
        </w:rPr>
        <w:t xml:space="preserve"> </w:t>
      </w:r>
      <w:r>
        <w:rPr>
          <w:b/>
          <w:bCs/>
          <w:i/>
          <w:caps/>
        </w:rPr>
        <w:t>LATAM  Sin CAR-T ni pirtobrutinib</w:t>
      </w:r>
      <w:r>
        <w:rPr>
          <w:i/>
          <w:caps/>
        </w:rPr>
        <w:t>:  priorizar en orden: (1) ensayo clínico; (2) anticuerpos bispecíficos solos o en combinación con ADCs cuando disponibles;</w:t>
      </w:r>
      <w:r>
        <w:rPr>
          <w:i/>
          <w:caps/>
          <w:vertAlign w:val="superscript"/>
        </w:rPr>
        <w:t>14</w:t>
      </w:r>
      <w:r>
        <w:rPr>
          <w:i/>
          <w:caps/>
        </w:rPr>
        <w:t xml:space="preserve"> (3) rituximab + lenalidomida; (4) quimioinmunoterapia de rescate como puente.</w:t>
      </w:r>
      <w:r>
        <w:rPr>
          <w:i/>
          <w:caps/>
          <w:vertAlign w:val="superscript"/>
        </w:rPr>
        <w:t>13</w:t>
      </w:r>
      <w:r>
        <w:rPr>
          <w:i/>
          <w:caps/>
        </w:rPr>
        <w:t xml:space="preserve"> Derivar a centro de mayor complejidad cuando sea factible.</w:t>
      </w:r>
    </w:p>
    <w:p w14:paraId="4D32ECE8" w14:textId="78214F13" w:rsidR="004B40E4" w:rsidRPr="004B40E4" w:rsidRDefault="004B40E4" w:rsidP="00D3731D">
      <w:pPr>
        <w:spacing w:before="240" w:after="240"/>
        <w:jc w:val="both"/>
        <w:rPr>
          <w:i/>
        </w:rPr>
      </w:pPr>
      <w:r>
        <w:rPr>
          <w:i/>
        </w:rPr>
        <w:t>¿HISTOLOGÍA BLASTOIDE/PLEOMÓRFICA O TP53+?</w:t>
      </w:r>
    </w:p>
    <w:p w14:paraId="21FD110B" w14:textId="4288E2CB" w:rsidR="004B40E4" w:rsidRPr="00172E82" w:rsidRDefault="004B40E4" w:rsidP="00D3731D">
      <w:pPr>
        <w:spacing w:before="240" w:after="240"/>
        <w:jc w:val="both"/>
        <w:rPr>
          <w:i/>
          <w:caps/>
          <w:vertAlign w:val="superscript"/>
        </w:rPr>
      </w:pPr>
      <w:r>
        <w:rPr>
          <w:i/>
        </w:rPr>
        <w:t>LA HISTOLOGÍA BLASTOIDE COEXISTE FRECUENTEMENTE CON TP53+, KI-67 ≥50% Y CARIOTIPO COMPLEJO — IDENTIFICAR SIEMPRE EL PERFIL COMPLETO.2 ESTA COMBINACIÓN DEFINE EL GRUPO DE MAYOR REFRACTARIEDAD A QUIMIOINMUNOTERAPIA CONVENCIONAL. EN RECAÍDA CON BLASTOIDE/TP53+: LCM BLASTOIDE/PLEOMÓRFICO ES ALTAMENTE REFRACTARIO A QUIMIOINMUNOTERAPIA; EVITARLA SI ES POSIBLE.</w:t>
      </w:r>
      <w:r>
        <w:rPr>
          <w:i/>
          <w:vertAlign w:val="superscript"/>
        </w:rPr>
        <w:t>13</w:t>
      </w:r>
      <w:r>
        <w:rPr>
          <w:i/>
        </w:rPr>
        <w:t xml:space="preserve"> OPCIONES POR ORDEN DE PREFERENCIA: CAR-T (RESULTADOS FAVORABLES INCLUSO EN BLASTOIDE),</w:t>
      </w:r>
      <w:r>
        <w:rPr>
          <w:i/>
          <w:vertAlign w:val="superscript"/>
        </w:rPr>
        <w:t>6,7</w:t>
      </w:r>
      <w:r>
        <w:rPr>
          <w:i/>
        </w:rPr>
        <w:t xml:space="preserve"> PIRTOBRUTINIB POST-CBTKI,</w:t>
      </w:r>
      <w:r>
        <w:rPr>
          <w:i/>
          <w:vertAlign w:val="superscript"/>
        </w:rPr>
        <w:t>8</w:t>
      </w:r>
      <w:r>
        <w:rPr>
          <w:i/>
        </w:rPr>
        <w:t xml:space="preserve"> ZANUBRUTINIB (ACTIVIDAD PROMETEDORA EN BLASTOIDE),</w:t>
      </w:r>
      <w:r>
        <w:rPr>
          <w:i/>
          <w:vertAlign w:val="superscript"/>
        </w:rPr>
        <w:t>4</w:t>
      </w:r>
      <w:r>
        <w:rPr>
          <w:i/>
        </w:rPr>
        <w:t xml:space="preserve"> COMBINACIONES BTKI + VENETOCLAX (DATOS LIMITADOS PERO CON SEÑAL DE ACTIVIDAD),</w:t>
      </w:r>
      <w:r>
        <w:rPr>
          <w:i/>
          <w:vertAlign w:val="superscript"/>
        </w:rPr>
        <w:t>5</w:t>
      </w:r>
      <w:r>
        <w:rPr>
          <w:i/>
        </w:rPr>
        <w:t xml:space="preserve"> ENSAYOS CLÍNICOS CON BISPECÍFICOS ± ADCS.</w:t>
      </w:r>
      <w:r>
        <w:rPr>
          <w:i/>
          <w:vertAlign w:val="superscript"/>
        </w:rPr>
        <w:t>14</w:t>
      </w:r>
      <w:r>
        <w:rPr>
          <w:i/>
        </w:rPr>
        <w:t xml:space="preserve">  </w:t>
      </w:r>
      <w:r>
        <w:rPr>
          <w:b/>
          <w:bCs/>
          <w:i/>
          <w:caps/>
        </w:rPr>
        <w:t>LATAM Blastoide/TP53+ sin CAR-T en LATAM</w:t>
      </w:r>
      <w:r>
        <w:rPr>
          <w:i/>
          <w:caps/>
        </w:rPr>
        <w:t>: alo-TPH en pacientes jóvenes/aptos que logren RC/RP es la opción con mayor potencial curativo disponible.12 Priorizar ensayos clínicos. Derivación obligatoria a centro de referencia.  Bortezomib en monoterapia: sin valor establecido en recaída de LCM. No recomendarse como agente único. Usar solo en combinación multiagente o en ensayo clínico.</w:t>
      </w:r>
      <w:r>
        <w:rPr>
          <w:i/>
          <w:caps/>
          <w:vertAlign w:val="superscript"/>
        </w:rPr>
        <w:t>13</w:t>
      </w:r>
    </w:p>
    <w:p w14:paraId="4ABE544D" w14:textId="27EEB76C" w:rsidR="00A65CAB" w:rsidRPr="00172E82" w:rsidRDefault="00D3731D" w:rsidP="00D3731D">
      <w:pPr>
        <w:spacing w:before="240" w:after="240"/>
        <w:jc w:val="both"/>
        <w:rPr>
          <w:iCs/>
          <w:sz w:val="20"/>
          <w:szCs w:val="20"/>
        </w:rPr>
      </w:pPr>
      <w:r>
        <w:rPr>
          <w:b/>
          <w:bCs/>
          <w:iCs/>
        </w:rPr>
        <w:t>Justificación</w:t>
      </w:r>
      <w:r>
        <w:rPr>
          <w:iCs/>
        </w:rPr>
        <w:t>:</w:t>
      </w:r>
      <w:r>
        <w:rPr>
          <w:i/>
        </w:rPr>
        <w:t xml:space="preserve"> </w:t>
      </w:r>
      <w:r>
        <w:rPr>
          <w:iCs/>
          <w:sz w:val="20"/>
          <w:szCs w:val="20"/>
        </w:rPr>
        <w:t>Se recomienda nueva biopsia al momento de la recaída para confirmar diagnóstico y re-estratificar la biología, dado que la evolución clonal puede incorporar mutaciones TP53, transformación blastoide o adquisición de cariotipo complejo entre el diagnóstico inicial y la recaída.</w:t>
      </w:r>
      <w:r>
        <w:rPr>
          <w:iCs/>
          <w:sz w:val="20"/>
          <w:szCs w:val="20"/>
          <w:vertAlign w:val="superscript"/>
        </w:rPr>
        <w:t>1,2</w:t>
      </w:r>
      <w:r>
        <w:rPr>
          <w:iCs/>
          <w:sz w:val="20"/>
          <w:szCs w:val="20"/>
        </w:rPr>
        <w:t xml:space="preserve"> En LATAM, cuando el NGS no esté disponible, la IHQ p53 ≥50% es el mínimo obligatorio para identificar el subgrupo TP53-mutado, cuya identificación cambia radicalmente las decisiones terapéuticas.</w:t>
      </w:r>
      <w:r>
        <w:rPr>
          <w:iCs/>
          <w:sz w:val="20"/>
          <w:szCs w:val="20"/>
          <w:vertAlign w:val="superscript"/>
        </w:rPr>
        <w:t xml:space="preserve">2 </w:t>
      </w:r>
      <w:r>
        <w:rPr>
          <w:iCs/>
          <w:sz w:val="20"/>
          <w:szCs w:val="20"/>
        </w:rPr>
        <w:t>La pregunta sobre el patrón temporal (refractario, POD24 positivo o POD24 negativo) debe hacerse primero porque define la urgencia y el pronóstico antes de conocer cualquier otra variable. La enfermedad refractaria y la recaída temprana representan los escenarios de mayor urgencia clínica, menor probabilidad de respuesta a quimioinmunoterapia y necesidad más inmediata de terapias avanzadas.</w:t>
      </w:r>
      <w:r>
        <w:rPr>
          <w:iCs/>
          <w:sz w:val="20"/>
          <w:szCs w:val="20"/>
          <w:vertAlign w:val="superscript"/>
        </w:rPr>
        <w:t>1,13</w:t>
      </w:r>
      <w:r>
        <w:rPr>
          <w:iCs/>
          <w:sz w:val="20"/>
          <w:szCs w:val="20"/>
        </w:rPr>
        <w:t xml:space="preserve"> A diferencia del linfoma folicular, en el LCM incluso la recaída tardía es una enfermedad que requiere tratamiento activo en la gran mayoría de los pacientes; la vigilancia activa en recaída solo tiene cabida en el perfil muy seleccionado de variante leucémica no nodal (SOX11 negativo, IGHV mutado) o LCM-GI primario de bajo volumen asintomático.</w:t>
      </w:r>
      <w:r>
        <w:rPr>
          <w:iCs/>
          <w:sz w:val="20"/>
          <w:szCs w:val="20"/>
          <w:vertAlign w:val="superscript"/>
        </w:rPr>
        <w:t>1</w:t>
      </w:r>
      <w:r>
        <w:rPr>
          <w:iCs/>
          <w:sz w:val="20"/>
          <w:szCs w:val="20"/>
        </w:rPr>
        <w:t>La segunda pregunta estructurante es si el paciente recibió BTKi en primera línea, ya que esta distinción define de manera binaria las opciones disponibles. En pacientes sin exposición previa, los cBTKi (ibrutinib, acalabrutinib, zanubrutinib) constituyen la primera opción en segunda línea con eficacia superior a la quimioinmunoterapia.</w:t>
      </w:r>
      <w:r>
        <w:rPr>
          <w:iCs/>
          <w:sz w:val="20"/>
          <w:szCs w:val="20"/>
          <w:vertAlign w:val="superscript"/>
        </w:rPr>
        <w:t>3,4</w:t>
      </w:r>
      <w:r>
        <w:rPr>
          <w:iCs/>
          <w:sz w:val="20"/>
          <w:szCs w:val="20"/>
        </w:rPr>
        <w:t xml:space="preserve"> Zanubrutinib y acalabrutinib ofrecen perfiles de seguridad cardiovascular y hemorrágico superiores a ibrutinib.</w:t>
      </w:r>
      <w:r>
        <w:rPr>
          <w:iCs/>
          <w:sz w:val="20"/>
          <w:szCs w:val="20"/>
          <w:vertAlign w:val="superscript"/>
        </w:rPr>
        <w:t>4</w:t>
      </w:r>
      <w:r>
        <w:rPr>
          <w:iCs/>
          <w:sz w:val="20"/>
          <w:szCs w:val="20"/>
        </w:rPr>
        <w:t xml:space="preserve"> En recaída temprana con alto riesgo, la combinación ibrutinib + venetoclax demostró altas tasas de remisión molecular en tratamiento por tiempo definido.</w:t>
      </w:r>
      <w:r>
        <w:rPr>
          <w:iCs/>
          <w:sz w:val="20"/>
          <w:szCs w:val="20"/>
          <w:vertAlign w:val="superscript"/>
        </w:rPr>
        <w:t>5</w:t>
      </w:r>
      <w:r>
        <w:rPr>
          <w:iCs/>
          <w:sz w:val="20"/>
          <w:szCs w:val="20"/>
        </w:rPr>
        <w:t xml:space="preserve"> Es esencial </w:t>
      </w:r>
      <w:r>
        <w:rPr>
          <w:iCs/>
          <w:sz w:val="20"/>
          <w:szCs w:val="20"/>
        </w:rPr>
        <w:lastRenderedPageBreak/>
        <w:t>distinguir la progresión en BTKi (resistencia real) de la discontinuación por toxicidad o protocolo finito, ya que en este último caso el retratamiento con cBTKi ± venetoclax permanece como opción válida.</w:t>
      </w:r>
      <w:r>
        <w:rPr>
          <w:iCs/>
          <w:sz w:val="20"/>
          <w:szCs w:val="20"/>
          <w:vertAlign w:val="superscript"/>
        </w:rPr>
        <w:t>3,5</w:t>
      </w:r>
      <w:r>
        <w:rPr>
          <w:iCs/>
          <w:sz w:val="20"/>
          <w:szCs w:val="20"/>
        </w:rPr>
        <w:t xml:space="preserve"> En pacientes con progresión durante BTKi continuo, el CAR-T es la opción de mayor eficacia documentada, con respuestas sostenidas e independientes del estado de TP53: ZUMA-2 reportó ORR 85%, CR 68% con brexucabtagene autoleucel</w:t>
      </w:r>
      <w:r>
        <w:rPr>
          <w:iCs/>
          <w:sz w:val="20"/>
          <w:szCs w:val="20"/>
          <w:vertAlign w:val="superscript"/>
        </w:rPr>
        <w:t>6</w:t>
      </w:r>
      <w:r>
        <w:rPr>
          <w:iCs/>
          <w:sz w:val="20"/>
          <w:szCs w:val="20"/>
        </w:rPr>
        <w:t xml:space="preserve"> y TRANSCEND NHL 001 confirmó resultados similares con lisocabtagene maraleucel.</w:t>
      </w:r>
      <w:r>
        <w:rPr>
          <w:iCs/>
          <w:sz w:val="20"/>
          <w:szCs w:val="20"/>
          <w:vertAlign w:val="superscript"/>
        </w:rPr>
        <w:t>7</w:t>
      </w:r>
      <w:r>
        <w:rPr>
          <w:iCs/>
          <w:sz w:val="20"/>
          <w:szCs w:val="20"/>
        </w:rPr>
        <w:t xml:space="preserve"> Pirtobrutinib, BTKi no covalente, demostró actividad en pacientes resistentes a cBTKi incluyendo mutaciones en BTK C481.</w:t>
      </w:r>
      <w:r>
        <w:rPr>
          <w:iCs/>
          <w:sz w:val="20"/>
          <w:szCs w:val="20"/>
          <w:vertAlign w:val="superscript"/>
        </w:rPr>
        <w:t>8</w:t>
      </w:r>
      <w:r>
        <w:rPr>
          <w:iCs/>
          <w:sz w:val="20"/>
          <w:szCs w:val="20"/>
        </w:rPr>
        <w:t xml:space="preserve"> La histología blastoide y la mutación TP53 representan el mayor desafío terapéutico del LCM. En primera línea, el auto-TPH tras inducción con citarabina sigue siendo el estándar en pacientes TP53 negativos,</w:t>
      </w:r>
      <w:r>
        <w:rPr>
          <w:iCs/>
          <w:sz w:val="20"/>
          <w:szCs w:val="20"/>
          <w:vertAlign w:val="superscript"/>
        </w:rPr>
        <w:t>11</w:t>
      </w:r>
      <w:r>
        <w:rPr>
          <w:iCs/>
          <w:sz w:val="20"/>
          <w:szCs w:val="20"/>
        </w:rPr>
        <w:t xml:space="preserve"> pero en TP53+ o blastoide asociadas a TP53 en la mayoría de los casos, el beneficio es limitado y las estrategias con BTKi ± combinaciones deben incorporarse tempranamente. El alo-TPH ofrece potencial curativo en pacientes jóvenes y aptos que logran remisión profunda.</w:t>
      </w:r>
      <w:r>
        <w:rPr>
          <w:iCs/>
          <w:sz w:val="20"/>
          <w:szCs w:val="20"/>
          <w:vertAlign w:val="superscript"/>
        </w:rPr>
        <w:t>12</w:t>
      </w:r>
      <w:r>
        <w:rPr>
          <w:iCs/>
          <w:sz w:val="20"/>
          <w:szCs w:val="20"/>
        </w:rPr>
        <w:t xml:space="preserve"> En recaída, el LCM blastoide es altamente refractario a quimioinmunoterapia convencional; el CAR-T mantiene eficacia incluso en este subgrupo,</w:t>
      </w:r>
      <w:r>
        <w:rPr>
          <w:iCs/>
          <w:sz w:val="20"/>
          <w:szCs w:val="20"/>
          <w:vertAlign w:val="superscript"/>
        </w:rPr>
        <w:t>6,7</w:t>
      </w:r>
      <w:r>
        <w:rPr>
          <w:iCs/>
          <w:sz w:val="20"/>
          <w:szCs w:val="20"/>
        </w:rPr>
        <w:t xml:space="preserve"> y en LATAM sin acceso a CAR-T, el alo-TPH en candidatos que logran RC/RP es la alternativa con mayor potencial de control prolongado.</w:t>
      </w:r>
      <w:r>
        <w:rPr>
          <w:iCs/>
          <w:sz w:val="20"/>
          <w:szCs w:val="20"/>
          <w:vertAlign w:val="superscript"/>
        </w:rPr>
        <w:t>12</w:t>
      </w:r>
      <w:r>
        <w:rPr>
          <w:iCs/>
          <w:sz w:val="20"/>
          <w:szCs w:val="20"/>
        </w:rPr>
        <w:t xml:space="preserve"> En el contexto latinoamericano, la ausencia frecuente de BTKi, CAR-T y pirtobrutinib obliga a una jerarquía práctica: ensayo clínico como primera opción en todos los escenarios post-BTKi o refractarios, seguido de anticuerpos bispecíficos ± ADCs cuando estén disponibles,</w:t>
      </w:r>
      <w:r>
        <w:rPr>
          <w:iCs/>
          <w:sz w:val="20"/>
          <w:szCs w:val="20"/>
          <w:vertAlign w:val="superscript"/>
        </w:rPr>
        <w:t>14</w:t>
      </w:r>
      <w:r>
        <w:rPr>
          <w:iCs/>
          <w:sz w:val="20"/>
          <w:szCs w:val="20"/>
        </w:rPr>
        <w:t xml:space="preserve"> rituximab + lenalidomida, y quimioinmunoterapia de rescate estrictamente como puente hacia terapias definitivas.</w:t>
      </w:r>
    </w:p>
    <w:p w14:paraId="5638012D" w14:textId="3047DE51" w:rsidR="00385E19" w:rsidRPr="00172E82" w:rsidRDefault="00385E19" w:rsidP="00D3731D">
      <w:pPr>
        <w:spacing w:before="240" w:after="240"/>
        <w:jc w:val="both"/>
        <w:rPr>
          <w:iCs/>
        </w:rPr>
      </w:pPr>
      <w:r>
        <w:rPr>
          <w:b/>
          <w:bCs/>
          <w:iCs/>
        </w:rPr>
        <w:t xml:space="preserve"> Declaración 5.1 (Nivel de evidencia: 2C): </w:t>
      </w:r>
      <w:r>
        <w:rPr>
          <w:iCs/>
        </w:rPr>
        <w:t>Ante toda sospecha de recaída, realizar nueva biopsia para confirmar diagnóstico, caracterizar morfología, Ki-67 y estado de TP53 (IHQ p53 ≥50% como mínimo aceptable en LATAM cuando NGS no esté disponible).</w:t>
      </w:r>
    </w:p>
    <w:p w14:paraId="7A8B9C0D" w14:textId="77777777" w:rsidR="0094697E" w:rsidRDefault="00000000" w:rsidP="00D3731D">
      <w:pPr>
        <w:spacing w:before="120" w:after="120"/>
        <w:jc w:val="both"/>
      </w:pPr>
      <w:r>
        <w:rPr>
          <w:sz w:val="20"/>
          <w:szCs w:val="20"/>
        </w:rPr>
        <w:t>En recaída tardía (POD24 negativo) sin BTKi previo: BTKi continuo como primera opción (zanubrutinib o acalabrutinib preferidos; ibrutinib si los anteriores no disponibles).</w:t>
      </w:r>
    </w:p>
    <w:p w14:paraId="7B8C9D0E" w14:textId="77777777" w:rsidR="0094697E" w:rsidRDefault="00000000" w:rsidP="00D3731D">
      <w:pPr>
        <w:spacing w:before="120" w:after="120"/>
        <w:jc w:val="both"/>
      </w:pPr>
      <w:r>
        <w:rPr>
          <w:sz w:val="20"/>
          <w:szCs w:val="20"/>
        </w:rPr>
        <w:t>En recaída temprana (POD24 positivo) sin BTKi previo con características de alto riesgo (TP53+, blastoide, Ki-67 ≥50%): ibrutinib + venetoclax por 24 ciclos seguido de ibrutinib indefinido; referencia precoz a CAR-T.</w:t>
      </w:r>
    </w:p>
    <w:p w14:paraId="7C9D0E1F" w14:textId="77777777" w:rsidR="0094697E" w:rsidRDefault="00000000" w:rsidP="00D3731D">
      <w:pPr>
        <w:spacing w:before="120" w:after="120"/>
        <w:jc w:val="both"/>
      </w:pPr>
      <w:r>
        <w:rPr>
          <w:sz w:val="20"/>
          <w:szCs w:val="20"/>
        </w:rPr>
        <w:t>Tras progresión en BTKi continuo: priorizar CAR-T, pirtobrutinib o venetoclax. En LATAM sin acceso a estas terapias: ensayos clínicos como primera opción; anticuerpos biespecíficos ± ADCs si disponibles; alo-TPH en pacientes jóvenes y aptos que logren RC o mejor RP.</w:t>
      </w:r>
    </w:p>
    <w:p w14:paraId="7D0E1F2A" w14:textId="77777777" w:rsidR="0094697E" w:rsidRDefault="00000000" w:rsidP="00D3731D">
      <w:pPr>
        <w:spacing w:before="120" w:after="120"/>
        <w:jc w:val="both"/>
      </w:pPr>
      <w:r>
        <w:rPr>
          <w:sz w:val="20"/>
          <w:szCs w:val="20"/>
        </w:rPr>
        <w:t>No utilizar lenalidomida ni bortezomib como agente único. Alo-TPH de forma individualizada en LATAM cuando se obtenga RC o mejor RP.</w:t>
      </w:r>
    </w:p>
    <w:p w14:paraId="7E1F2A3B" w14:textId="77777777" w:rsidR="0094697E" w:rsidRDefault="00000000" w:rsidP="00D3731D">
      <w:pPr>
        <w:spacing w:before="120" w:after="120"/>
        <w:jc w:val="both"/>
      </w:pPr>
      <w:r>
        <w:rPr>
          <w:sz w:val="20"/>
          <w:szCs w:val="20"/>
        </w:rPr>
        <w:t>En pacientes con recaída sintomática, voluminosa o con compromiso orgánico inminente, el control inmediato de la enfermedad tiene prioridad sobre el inicio del régimen definitivo de segunda línea. Estos pacientes pueden requerir terapia puente a corto plazo — corticosteroides, agentes alquilantes, anti-CD20 y/o radioterapia localizada — para estabilizar al paciente antes de transicionar a la estrategia de rescate planificada basada en BTKi ± venetoclax u otras combinaciones según biología, tratamiento previo y acceso a terapia celular.</w:t>
      </w:r>
    </w:p>
    <w:p w14:paraId="7F2A3B4C" w14:textId="77777777" w:rsidR="0094697E" w:rsidRDefault="00000000" w:rsidP="00D3731D">
      <w:pPr>
        <w:spacing w:before="120" w:after="240"/>
        <w:jc w:val="both"/>
      </w:pPr>
      <w:r>
        <w:rPr>
          <w:sz w:val="20"/>
          <w:szCs w:val="20"/>
        </w:rPr>
        <w:t>El alo-TPH debe considerarse de forma individualizada en pacientes jóvenes y aptos que logren RC o mejor RP, particularmente en LATAM donde el acceso a CAR-T y pirtobrutinib es limitado.</w:t>
      </w:r>
    </w:p>
    <w:p w14:paraId="38E0B823" w14:textId="74BF068C" w:rsidR="00A27AFF" w:rsidRPr="004F4119" w:rsidRDefault="00A27AFF" w:rsidP="000433E2">
      <w:pPr>
        <w:spacing w:before="60" w:after="60" w:line="260" w:lineRule="auto"/>
        <w:ind w:left="360" w:hanging="360"/>
        <w:jc w:val="both"/>
        <w:rPr>
          <w:b/>
          <w:bCs/>
          <w:color w:val="444444"/>
          <w:sz w:val="18"/>
          <w:szCs w:val="18"/>
          <w:lang w:val="es-VE"/>
        </w:rPr>
      </w:pPr>
      <w:r>
        <w:rPr>
          <w:b/>
          <w:bCs/>
          <w:color w:val="444444"/>
          <w:sz w:val="18"/>
          <w:szCs w:val="18"/>
          <w:lang w:val="es-VE"/>
        </w:rPr>
        <w:t xml:space="preserve">Bibliografia </w:t>
      </w:r>
    </w:p>
    <w:p w14:paraId="062A730F"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s-VE"/>
        </w:rPr>
        <w:t>1.</w:t>
      </w:r>
      <w:r>
        <w:rPr>
          <w:color w:val="444444"/>
          <w:sz w:val="18"/>
          <w:szCs w:val="18"/>
          <w:lang w:val="es-VE"/>
        </w:rPr>
        <w:tab/>
        <w:t xml:space="preserve">Dreyling M, Campo E, Hermine O, et al. </w:t>
      </w:r>
      <w:r>
        <w:rPr>
          <w:color w:val="444444"/>
          <w:sz w:val="18"/>
          <w:szCs w:val="18"/>
          <w:lang w:val="en-US"/>
        </w:rPr>
        <w:t>Newly diagnosed and relapsed mantle cell lymphoma: ESMO Clinical Practice Guidelines for diagnosis, treatment and follow-up. Ann Oncol. 2024;35(4):321–337.</w:t>
      </w:r>
    </w:p>
    <w:p w14:paraId="258CAA7E"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2.</w:t>
      </w:r>
      <w:r>
        <w:rPr>
          <w:color w:val="444444"/>
          <w:sz w:val="18"/>
          <w:szCs w:val="18"/>
          <w:lang w:val="en-US"/>
        </w:rPr>
        <w:tab/>
        <w:t>Eskelund CW, Dahl C, Hansen JW, et al. TP53 mutations identify younger mantle cell lymphoma patients who do not benefit from intensive chemoimmunotherapy. Blood. 2017;130(17):1903–1910.</w:t>
      </w:r>
    </w:p>
    <w:p w14:paraId="2075656A"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3.</w:t>
      </w:r>
      <w:r>
        <w:rPr>
          <w:color w:val="444444"/>
          <w:sz w:val="18"/>
          <w:szCs w:val="18"/>
          <w:lang w:val="en-US"/>
        </w:rPr>
        <w:tab/>
        <w:t>Wang ML, Rule S, Martin P, et al. Targeting BTK with ibrutinib in relapsed or refractory mantle-cell lymphoma. N Engl J Med. 2013;369(6):507–516.</w:t>
      </w:r>
    </w:p>
    <w:p w14:paraId="52C04B7A"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lastRenderedPageBreak/>
        <w:t>4.</w:t>
      </w:r>
      <w:r>
        <w:rPr>
          <w:color w:val="444444"/>
          <w:sz w:val="18"/>
          <w:szCs w:val="18"/>
          <w:lang w:val="en-US"/>
        </w:rPr>
        <w:tab/>
        <w:t>Song Y, Zhou K, Zou D, et al. Treatment of patients with relapsed/refractory mantle cell lymphoma with zanubrutinib. Clin Cancer Res. 2020;26(16):4216–4224.</w:t>
      </w:r>
    </w:p>
    <w:p w14:paraId="361C7B76"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5.</w:t>
      </w:r>
      <w:r>
        <w:rPr>
          <w:color w:val="444444"/>
          <w:sz w:val="18"/>
          <w:szCs w:val="18"/>
          <w:lang w:val="en-US"/>
        </w:rPr>
        <w:tab/>
        <w:t>Tam CS, Anderson MA, Pott C, et al. Ibrutinib plus venetoclax for the treatment of mantle-cell lymphoma (AIM study). N Engl J Med. 2018;378(13):1211–1223.</w:t>
      </w:r>
    </w:p>
    <w:p w14:paraId="7DB9262B"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6.</w:t>
      </w:r>
      <w:r>
        <w:rPr>
          <w:color w:val="444444"/>
          <w:sz w:val="18"/>
          <w:szCs w:val="18"/>
          <w:lang w:val="en-US"/>
        </w:rPr>
        <w:tab/>
        <w:t>Wang ML, Munoz J, Goy A, et al. KTE-X19 CAR T-cell therapy in relapsed or refractory mantle-cell lymphoma (ZUMA-2). N Engl J Med. 2022;386(26):2331–2342.</w:t>
      </w:r>
    </w:p>
    <w:p w14:paraId="42FA4AB0"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7.</w:t>
      </w:r>
      <w:r>
        <w:rPr>
          <w:color w:val="444444"/>
          <w:sz w:val="18"/>
          <w:szCs w:val="18"/>
          <w:lang w:val="en-US"/>
        </w:rPr>
        <w:tab/>
        <w:t>Palomba ML, Gordon LI, Siddiqi T, et al. Safety and preliminary efficacy in patients with relapsed/refractory MCL receiving liso-cel (TRANSCEND NHL 001). Blood Adv. 2023;7(5):736–746.</w:t>
      </w:r>
    </w:p>
    <w:p w14:paraId="17102093"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8.</w:t>
      </w:r>
      <w:r>
        <w:rPr>
          <w:color w:val="444444"/>
          <w:sz w:val="18"/>
          <w:szCs w:val="18"/>
          <w:lang w:val="en-US"/>
        </w:rPr>
        <w:tab/>
        <w:t>Cohen JB, Shah NN, Jurczak W, et al. Pirtobrutinib in relapsed/refractory mantle cell lymphoma: updated results from BRUIN. Blood. 2023;142(Suppl 1):1981.</w:t>
      </w:r>
    </w:p>
    <w:p w14:paraId="60BE6AB0"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9.</w:t>
      </w:r>
      <w:r>
        <w:rPr>
          <w:color w:val="444444"/>
          <w:sz w:val="18"/>
          <w:szCs w:val="18"/>
          <w:lang w:val="en-US"/>
        </w:rPr>
        <w:tab/>
        <w:t>Davids MS, Roberts AW, Seymour JF, et al. Phase I study of venetoclax in patients with relapsed or refractory non-Hodgkin lymphoma. J Clin Oncol. 2017;35(8):826–833.</w:t>
      </w:r>
    </w:p>
    <w:p w14:paraId="040FC020"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10.</w:t>
      </w:r>
      <w:r>
        <w:rPr>
          <w:color w:val="444444"/>
          <w:sz w:val="18"/>
          <w:szCs w:val="18"/>
          <w:lang w:val="en-US"/>
        </w:rPr>
        <w:tab/>
        <w:t>Visco C, Finotto S, Zambello R, et al. Combination of rituximab, bendamustine, and cytarabine (R-BAC) for patients with MCL ineligible for intensive regimens. J Clin Oncol. 2013;31(11):1442–1449.</w:t>
      </w:r>
    </w:p>
    <w:p w14:paraId="6B4A4B76"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11.</w:t>
      </w:r>
      <w:r>
        <w:rPr>
          <w:color w:val="444444"/>
          <w:sz w:val="18"/>
          <w:szCs w:val="18"/>
          <w:lang w:val="en-US"/>
        </w:rPr>
        <w:tab/>
        <w:t>Geisler CH, Kolstad A, Laurell A, et al. Nordic MCL2 trial: long-term follow-up after intensive front-line immunochemotherapy with early autologous stem-cell transplantation. Blood. 2012;119(23):5352–5359.</w:t>
      </w:r>
    </w:p>
    <w:p w14:paraId="1C3DE4C8"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12.</w:t>
      </w:r>
      <w:r>
        <w:rPr>
          <w:color w:val="444444"/>
          <w:sz w:val="18"/>
          <w:szCs w:val="18"/>
          <w:lang w:val="en-US"/>
        </w:rPr>
        <w:tab/>
        <w:t>Lew TE, Ratnasingam J, Tan SY, et al. Allogeneic stem cell transplantation for mantle cell lymphoma in the era of BTK inhibitors. Bone Marrow Transplant. 2023;58(4):412–419.</w:t>
      </w:r>
    </w:p>
    <w:p w14:paraId="0D7E8A53" w14:textId="77777777" w:rsidR="004B40E4" w:rsidRPr="000433E2" w:rsidRDefault="004B40E4" w:rsidP="00D3731D">
      <w:pPr>
        <w:spacing w:before="60" w:after="60" w:line="260" w:lineRule="auto"/>
        <w:ind w:left="360" w:hanging="360"/>
        <w:jc w:val="both"/>
        <w:rPr>
          <w:color w:val="444444"/>
          <w:sz w:val="18"/>
          <w:szCs w:val="18"/>
          <w:lang w:val="en-US"/>
        </w:rPr>
      </w:pPr>
      <w:r>
        <w:rPr>
          <w:color w:val="444444"/>
          <w:sz w:val="18"/>
          <w:szCs w:val="18"/>
          <w:lang w:val="en-US"/>
        </w:rPr>
        <w:t>13.</w:t>
      </w:r>
      <w:r>
        <w:rPr>
          <w:color w:val="444444"/>
          <w:sz w:val="18"/>
          <w:szCs w:val="18"/>
          <w:lang w:val="en-US"/>
        </w:rPr>
        <w:tab/>
        <w:t>Martin P, Maddocks K, Leonard JP, et al. Postibrutinib outcomes in patients with mantle cell lymphoma. Blood. 2016;127(12):1559–1563.</w:t>
      </w:r>
    </w:p>
    <w:p w14:paraId="39ED6BEB" w14:textId="7617D43B" w:rsidR="004B40E4" w:rsidRPr="004F4119" w:rsidRDefault="004B40E4" w:rsidP="00D3731D">
      <w:pPr>
        <w:spacing w:before="60" w:after="60" w:line="260" w:lineRule="auto"/>
        <w:ind w:left="360" w:hanging="360"/>
        <w:jc w:val="both"/>
        <w:rPr>
          <w:color w:val="444444"/>
          <w:sz w:val="18"/>
          <w:szCs w:val="18"/>
          <w:lang w:val="es-VE"/>
        </w:rPr>
      </w:pPr>
      <w:r>
        <w:rPr>
          <w:color w:val="444444"/>
          <w:sz w:val="18"/>
          <w:szCs w:val="18"/>
          <w:lang w:val="en-US"/>
        </w:rPr>
        <w:t>14.</w:t>
      </w:r>
      <w:r>
        <w:rPr>
          <w:color w:val="444444"/>
          <w:sz w:val="18"/>
          <w:szCs w:val="18"/>
          <w:lang w:val="en-US"/>
        </w:rPr>
        <w:tab/>
        <w:t xml:space="preserve">Hutchings M, Morschhauser F, Iacoboni G, et al. Glofitamab induces durable complete remissions in heavily pre-treated B-cell lymphoma. </w:t>
      </w:r>
      <w:r>
        <w:rPr>
          <w:color w:val="444444"/>
          <w:sz w:val="18"/>
          <w:szCs w:val="18"/>
          <w:lang w:val="es-VE"/>
        </w:rPr>
        <w:t>J Clin Oncol. 2021;39(18):1959–1970.</w:t>
      </w:r>
    </w:p>
    <w:p w14:paraId="000000AC" w14:textId="77777777" w:rsidR="00205D31" w:rsidRPr="000C6123" w:rsidRDefault="00000000" w:rsidP="00D3731D">
      <w:pPr>
        <w:pStyle w:val="Ttulo3"/>
        <w:keepNext w:val="0"/>
        <w:keepLines w:val="0"/>
        <w:spacing w:before="280"/>
        <w:jc w:val="both"/>
        <w:rPr>
          <w:b/>
          <w:color w:val="000000"/>
          <w:sz w:val="24"/>
          <w:szCs w:val="24"/>
        </w:rPr>
      </w:pPr>
      <w:bookmarkStart w:id="23" w:name="_heading=h.82fqb7b6ncfw" w:colFirst="0" w:colLast="0"/>
      <w:bookmarkEnd w:id="23"/>
      <w:r>
        <w:rPr>
          <w:b/>
          <w:color w:val="000000"/>
          <w:sz w:val="24"/>
          <w:szCs w:val="24"/>
        </w:rPr>
        <w:t>5.2 ¿Cuál es el rol de los inhibidores de BTK no covalentes en el algoritmo de recaída?</w:t>
      </w:r>
    </w:p>
    <w:p w14:paraId="000000AD" w14:textId="77777777" w:rsidR="00205D31" w:rsidRDefault="00000000" w:rsidP="00D3731D">
      <w:pPr>
        <w:spacing w:before="240" w:after="240"/>
        <w:jc w:val="both"/>
        <w:rPr>
          <w:i/>
        </w:rPr>
      </w:pPr>
      <w:sdt>
        <w:sdtPr>
          <w:tag w:val="goog_rdk_10"/>
          <w:id w:val="-303638928"/>
        </w:sdtPr>
        <w:sdtContent>
          <w:r>
            <w:rPr>
              <w:i/>
            </w:rPr>
            <w:t>SE RECOMIENDA PIRTOBRUTINIB EN: LCM EN RECAÍDA DESPUÉS DE ≥2 LÍNEAS INCLUYENDO UN cBTKi, O EN SEGUNDA LINEA EN PACIENTES QUE PROGRESARON DURANTE TRATAMIENTO CONTINUO CON cBTKi EN PRIMERA LINEA. ES LA OPCIÓN PREFERIDA CUANDO HAY RESISTENCIA DEMOSTRADA A cBTKi CON TRG DE 50-58% Y RC DE 20-25% EN ESTA POBLACIÓN DE ALTO RIESGO</w:t>
          </w:r>
          <w:r>
            <w:rPr>
              <w:rFonts w:ascii="Arial Unicode MS" w:eastAsia="Arial Unicode MS" w:hAnsi="Arial Unicode MS" w:cs="Arial Unicode MS"/>
              <w:i/>
            </w:rPr>
            <w:t>.</w:t>
          </w:r>
        </w:sdtContent>
      </w:sdt>
    </w:p>
    <w:p w14:paraId="000000AE" w14:textId="77777777" w:rsidR="00205D31" w:rsidRPr="00A65CAB" w:rsidRDefault="00000000" w:rsidP="00D3731D">
      <w:pPr>
        <w:spacing w:before="240" w:after="240"/>
        <w:jc w:val="both"/>
        <w:rPr>
          <w:i/>
        </w:rPr>
      </w:pPr>
      <w:r>
        <w:rPr>
          <w:b/>
          <w:bCs/>
          <w:iCs/>
        </w:rPr>
        <w:t>Justificació</w:t>
      </w:r>
      <w:r>
        <w:rPr>
          <w:iCs/>
        </w:rPr>
        <w:t>n</w:t>
      </w:r>
      <w:sdt>
        <w:sdtPr>
          <w:rPr>
            <w:iCs/>
          </w:rPr>
          <w:tag w:val="goog_rdk_11"/>
          <w:id w:val="1914983200"/>
        </w:sdtPr>
        <w:sdtEndPr>
          <w:rPr>
            <w:i/>
            <w:iCs w:val="0"/>
          </w:rPr>
        </w:sdtEndPr>
        <w:sdtContent>
          <w:r>
            <w:rPr>
              <w:iCs/>
            </w:rPr>
            <w:t>.</w:t>
          </w:r>
          <w:r>
            <w:rPr>
              <w:i/>
            </w:rPr>
            <w:t xml:space="preserve"> </w:t>
          </w:r>
          <w:r>
            <w:rPr>
              <w:iCs/>
              <w:sz w:val="20"/>
              <w:szCs w:val="20"/>
            </w:rPr>
            <w:t>Pirtobrutinib es un ncBTKi altamente selectivo que es clínicamente activo en LCM resistente a cBTKi debido a su mecanismo de acción; es el único ncBTKi aprobado para LCM en recaída después de ≥2 líneas terapéuticas; mecanismos de resistencia a cBTKi (ej., mutaciones C481S) no afectan a pirtobrutinib y es bien tolerado. Es el único agente con actividad demostrada post-cBTKi mediante mecanismo diferente; aprobación regulatoria basada en evidencia; supera mecanismos de resistencia a BTKi covalentes; perfil de toxicidad generalmente favorable</w:t>
          </w:r>
          <w:r>
            <w:rPr>
              <w:i/>
              <w:sz w:val="20"/>
              <w:szCs w:val="20"/>
            </w:rPr>
            <w:t>.</w:t>
          </w:r>
        </w:sdtContent>
      </w:sdt>
    </w:p>
    <w:p w14:paraId="000000AF" w14:textId="77777777" w:rsidR="00205D31" w:rsidRPr="00A65CAB" w:rsidRDefault="00000000" w:rsidP="00D3731D">
      <w:pPr>
        <w:spacing w:before="240" w:after="240"/>
        <w:jc w:val="both"/>
        <w:rPr>
          <w:i/>
        </w:rPr>
      </w:pPr>
      <w:r>
        <w:rPr>
          <w:b/>
          <w:bCs/>
          <w:iCs/>
        </w:rPr>
        <w:t>Declaración (2C</w:t>
      </w:r>
      <w:r>
        <w:rPr>
          <w:i/>
        </w:rPr>
        <w:t>).</w:t>
      </w:r>
      <w:sdt>
        <w:sdtPr>
          <w:rPr>
            <w:i/>
          </w:rPr>
          <w:tag w:val="goog_rdk_12"/>
          <w:id w:val="-403227633"/>
        </w:sdtPr>
        <w:sdtContent>
          <w:r>
            <w:rPr>
              <w:iCs/>
            </w:rPr>
            <w:t xml:space="preserve"> </w:t>
          </w:r>
          <w:r>
            <w:rPr>
              <w:iCs/>
              <w:sz w:val="20"/>
              <w:szCs w:val="20"/>
            </w:rPr>
            <w:t>Recomendar pirtobrutinib en LCM en recaída después de ≥2 líneas incluyendo un cBTKi, o como primera línea de recaída en pacientes que progresaron durante tratamiento continuo con cBTKi, ya que es la opción preferida con actividad demostrada (TRG 50-58%, RC 20-25%) en esta población de alto riesgo resistente a cBTKi</w:t>
          </w:r>
          <w:r>
            <w:rPr>
              <w:i/>
              <w:sz w:val="20"/>
              <w:szCs w:val="20"/>
            </w:rPr>
            <w:t>.</w:t>
          </w:r>
        </w:sdtContent>
      </w:sdt>
    </w:p>
    <w:p w14:paraId="000000B0" w14:textId="77777777" w:rsidR="00205D31" w:rsidRPr="000C6123" w:rsidRDefault="00000000" w:rsidP="00D3731D">
      <w:pPr>
        <w:pStyle w:val="Ttulo3"/>
        <w:keepNext w:val="0"/>
        <w:keepLines w:val="0"/>
        <w:spacing w:before="280"/>
        <w:jc w:val="both"/>
        <w:rPr>
          <w:b/>
          <w:color w:val="000000"/>
          <w:sz w:val="24"/>
          <w:szCs w:val="24"/>
        </w:rPr>
      </w:pPr>
      <w:bookmarkStart w:id="24" w:name="_heading=h.1fzec1c7oy7" w:colFirst="0" w:colLast="0"/>
      <w:bookmarkEnd w:id="24"/>
      <w:r>
        <w:rPr>
          <w:b/>
          <w:color w:val="000000"/>
          <w:sz w:val="24"/>
          <w:szCs w:val="24"/>
        </w:rPr>
        <w:t>5.3 ¿Cuál es el rol de los anticuerpos biespecíficos en el algoritmo de recaída?</w:t>
      </w:r>
    </w:p>
    <w:p w14:paraId="000000B1" w14:textId="77777777" w:rsidR="00205D31" w:rsidRDefault="00000000" w:rsidP="00D3731D">
      <w:pPr>
        <w:spacing w:before="240" w:after="240"/>
        <w:jc w:val="both"/>
        <w:rPr>
          <w:i/>
        </w:rPr>
      </w:pPr>
      <w:r>
        <w:rPr>
          <w:i/>
        </w:rPr>
        <w:t xml:space="preserve">EL USO DE BsAb PARA LCM EN RECAÍDA DEBE SER EN EL CONTEXTO DE ENSAYO CLÍNICO O CONDICIONES EXCEPCIONALES. REQUIERE DISCUSIÓN DE BENEFICIOS Y RIESGOS CON EL PACIENTE PARA CADA CASO. OPCIÓN RAZONABLE EN PROGRESIÓN POST-cBTKi SIN ACCESO A CAR-T. </w:t>
      </w:r>
    </w:p>
    <w:p w14:paraId="000000B2" w14:textId="4817C4BA" w:rsidR="00205D31" w:rsidRPr="00172E82" w:rsidRDefault="00000000" w:rsidP="00D3731D">
      <w:pPr>
        <w:spacing w:before="240" w:after="240"/>
        <w:jc w:val="both"/>
        <w:rPr>
          <w:sz w:val="20"/>
          <w:szCs w:val="20"/>
        </w:rPr>
      </w:pPr>
      <w:r>
        <w:rPr>
          <w:b/>
        </w:rPr>
        <w:lastRenderedPageBreak/>
        <w:t>Justificación</w:t>
      </w:r>
      <w:r>
        <w:t xml:space="preserve">: </w:t>
      </w:r>
      <w:r>
        <w:rPr>
          <w:sz w:val="20"/>
          <w:szCs w:val="20"/>
        </w:rPr>
        <w:t>Los BsAb son estrategias inmunológicas con actividad en diferentes enfermedades linfoproliferativas malignas. Glofitamab (anti-CD3xCD20) en un estudio fase 1/2 logró 85% TRG y 78% RC en LCM en recaída, incluyendo pacientes que progresaron tras cBTKi. El síndrome de liberación de citoquinas (SLC) global fue 70%, y grado 3/4 fue de 12%, proporción mayor al visto en otros linfomas. El estudio aleatorizado fase III GLOBRYTE en curso comparando glofitamab versus BR o R-lenalidomida dará mayor evidencia acerca en la efectividad y seguridad de glofitamab en LCM en recaída. La combinación de Mosunetuzumab (anti-CD3xCD20) más polatuzumab vedotin contra CD79b y conjugado a monomethyl auristatina E (anticuerpo conjugado a droga; ADC) en un estudio fase II de 42 pacientes con LCM en recaída mostro un a TRG y RC de 88% y 79%, respectivamente, acompañado de una duración mediana de respuesta no alcanzada; y medianas de SLP y SG de 19 y 21 meses, respectivamente. El SLC global fue de 43% sin reportes de SLC grado 3/4 y con neurotoxicidad de solo 2% los cual sugiere un perfil de seguridad favorable. La actividad clínica impresionante en estudios tempranos asociado a un perfil de toxicidad manejable pudiese posicionar los BsAb como alternativas cuando CAR-T no esté disponible; sin embargo, aún no son estándar fuera de ensayos y la evidencia clínica está en evolución.</w:t>
      </w:r>
    </w:p>
    <w:p w14:paraId="000000B3" w14:textId="4B457BB1" w:rsidR="00205D31" w:rsidRDefault="00000000" w:rsidP="00D3731D">
      <w:pPr>
        <w:spacing w:before="240" w:after="240"/>
        <w:jc w:val="both"/>
      </w:pPr>
      <w:r>
        <w:rPr>
          <w:b/>
        </w:rPr>
        <w:t>Declaración (1A)</w:t>
      </w:r>
      <w:r>
        <w:t xml:space="preserve">: </w:t>
      </w:r>
      <w:r>
        <w:rPr>
          <w:sz w:val="20"/>
          <w:szCs w:val="20"/>
        </w:rPr>
        <w:t>Considerar BsAb para LCM en recaída en contexto de ensayos clínicos o condiciones excepcionales cuando CAR-T no esté disponible, con discusión cuidadosa de beneficios y riesgos; glofitamab y regímenes basados en mosunetuzumab muestran actividad prometedora (TRG 85-88%, RC 78-79%) en enfermedad refractaria a cBTKi, aunque las tasas de SLC con glofitamab son significativas. Los resultados del estudio fase III GLOBRYTE posiblemente ayudara a clarificar el role de glofitamab en este escenario.</w:t>
      </w:r>
      <w:r>
        <w:t xml:space="preserve"> </w:t>
      </w:r>
    </w:p>
    <w:p w14:paraId="000000B4" w14:textId="77777777" w:rsidR="00205D31" w:rsidRPr="000C6123" w:rsidRDefault="00000000" w:rsidP="00D3731D">
      <w:pPr>
        <w:pStyle w:val="Ttulo3"/>
        <w:keepNext w:val="0"/>
        <w:keepLines w:val="0"/>
        <w:spacing w:before="280"/>
        <w:jc w:val="both"/>
        <w:rPr>
          <w:b/>
          <w:color w:val="000000"/>
          <w:sz w:val="24"/>
          <w:szCs w:val="24"/>
        </w:rPr>
      </w:pPr>
      <w:bookmarkStart w:id="25" w:name="_heading=h.54069xbopaym" w:colFirst="0" w:colLast="0"/>
      <w:bookmarkEnd w:id="25"/>
      <w:r>
        <w:rPr>
          <w:b/>
          <w:color w:val="000000"/>
          <w:sz w:val="24"/>
          <w:szCs w:val="24"/>
        </w:rPr>
        <w:t>5.4 ¿Cuál es el rol de la terapia CAR-T en LCM en recaída tras fallo de cBTKi?</w:t>
      </w:r>
    </w:p>
    <w:p w14:paraId="000000B5" w14:textId="77777777" w:rsidR="00205D31" w:rsidRDefault="00000000" w:rsidP="00D3731D">
      <w:pPr>
        <w:spacing w:before="240" w:after="240"/>
        <w:jc w:val="both"/>
        <w:rPr>
          <w:i/>
        </w:rPr>
      </w:pPr>
      <w:sdt>
        <w:sdtPr>
          <w:tag w:val="goog_rdk_13"/>
          <w:id w:val="1021487347"/>
        </w:sdtPr>
        <w:sdtContent>
          <w:r>
            <w:rPr>
              <w:i/>
            </w:rPr>
            <w:t>CAR-T ES PROBABLEMENTE LA ESTRATEGIA MÁS ACTIVA PARA LCM R/R, ESPECIALMENTE CON ALTO RIESGO CLÍNICO/BIOLÓGICO, TRAS PROGRESIÓN A cBTKi. BREXU-CEL: RECOMENDADO DESPUÉS DE ≥1 LÍNEAS INCLUYENDO cBTKi EN PACIENTES JÓVENES O APTOS. LISO-CEL: RECOMENDADO DESPUÉS DE ≥2 LÍNEAS INCLUYENDO cBTKi, ESPECIALMENTE EN MAYORES, NO APTOS O CON COMORBILIDADES. RECOMENDACIONES NO TOTALMENTE APLICABLES EN GEOGRAFÍAS CON ACCESO LIMITADO A CAR-T, O DONDE LA TERAPIA ES INEXISTENTE. CAR-T TAMBIÉN ES RECOMENDADA DESPUÉS DE PROGRESIÓN A PIRTOBRUTINIB</w:t>
          </w:r>
          <w:r>
            <w:rPr>
              <w:rFonts w:ascii="Arial Unicode MS" w:eastAsia="Arial Unicode MS" w:hAnsi="Arial Unicode MS" w:cs="Arial Unicode MS"/>
              <w:i/>
            </w:rPr>
            <w:t>.</w:t>
          </w:r>
        </w:sdtContent>
      </w:sdt>
    </w:p>
    <w:p w14:paraId="000000B6" w14:textId="29934648" w:rsidR="00205D31" w:rsidRDefault="00000000" w:rsidP="00D3731D">
      <w:pPr>
        <w:spacing w:before="240" w:after="240"/>
        <w:jc w:val="both"/>
      </w:pPr>
      <w:r>
        <w:rPr>
          <w:b/>
          <w:bCs/>
        </w:rPr>
        <w:t>Justificación</w:t>
      </w:r>
      <w:sdt>
        <w:sdtPr>
          <w:tag w:val="goog_rdk_14"/>
          <w:id w:val="-1984022610"/>
        </w:sdtPr>
        <w:sdtContent>
          <w:r>
            <w:t xml:space="preserve">: </w:t>
          </w:r>
          <w:r>
            <w:rPr>
              <w:sz w:val="20"/>
              <w:szCs w:val="20"/>
            </w:rPr>
            <w:t xml:space="preserve">Brexucabtagene autoleucel (Brexu-cel) es la primera terapia CAR-T aprobada en LCM en recaída o refractario (R/R), un CAR-T anti-CD19 con CD28 como molécula co-estimuladora. En el estudio ZUMA-2 de pacientes con LCM R/R con exposición previa a cBTKi, bexu-cel logró 91% de TRG y 68% de RC, asociado a una SG de 44 a 4 años con una mediana de SG de 58.7 meses en pacientes logrando RC. Estos resultados han sido replicados en estudios de vida real (EE.UU. y Europa). Pacientes de alto riesgo (TP53+, blastoide, POD24+) tuvieron respuestas inferiores pero mejores que otras terapias. Las toxicidades grado ≥3 incluyeron SLC 15%, neurotoxicidad 31%, infecciones 31%, y mostro una mortalidad relacionada con tratamiento hasta del 9.1% fuera de estudios clínicos. Lisocabtagene maraleucel (liso-cel) es otro CAR-T anti-CD19 con 4-1BB como molécula coestimuladora, aprobado para LCM R/R después de ≥2 líneas. Esta terapia celular fue evaluada en el estudio TRANSCEND NHL 001 logrando TRG y RC de 83.1% y 72.3% respectivamente, con un a SLP mediana de 12.3 meses y una SG mediana de 18.4 meses. El perfil de toxicidad es más favorable con SLC global de 61% (grado ≥3 solo 1%), neurotoxicidad global de 31% (grado ≥3 9%), infecciones grado ≥3 de15%, y una mortalidad relacionada con el tratamiento del 5% dentro del ensayo clínico; sin datos de vida real hasta ahora. Estas tasas de respuesta y durabilidad no tienen precedentes en LCM R/R; con actividad clínica importante incluso en subgrupos de muy alto riesgo. Brexu-cel tiene </w:t>
          </w:r>
          <w:r>
            <w:rPr>
              <w:sz w:val="20"/>
              <w:szCs w:val="20"/>
            </w:rPr>
            <w:lastRenderedPageBreak/>
            <w:t>seguimiento más largo y cuenta con datos por fuera de estudios clínicos, pero los datos de liso-cel sugieren un perfil de toxicidad más favorable con eficacia similar. Es probablemente la terapia más activa en LCM R/R post-BTKi pero no hay seguimiento a largo plazo para asegurar que es un tratamiento con potencial curativo en esta enfermedad.</w:t>
          </w:r>
          <w:r>
            <w:t xml:space="preserve"> </w:t>
          </w:r>
        </w:sdtContent>
      </w:sdt>
    </w:p>
    <w:p w14:paraId="000000B7" w14:textId="7F870DA7" w:rsidR="00205D31" w:rsidRPr="00172E82" w:rsidRDefault="00000000" w:rsidP="00D3731D">
      <w:pPr>
        <w:spacing w:before="240" w:after="240"/>
        <w:jc w:val="both"/>
        <w:rPr>
          <w:sz w:val="20"/>
          <w:szCs w:val="20"/>
        </w:rPr>
      </w:pPr>
      <w:r>
        <w:rPr>
          <w:b/>
          <w:bCs/>
        </w:rPr>
        <w:t>Declaración (1B</w:t>
      </w:r>
      <w:r>
        <w:t>):</w:t>
      </w:r>
      <w:sdt>
        <w:sdtPr>
          <w:tag w:val="goog_rdk_15"/>
          <w:id w:val="-873208001"/>
        </w:sdtPr>
        <w:sdtEndPr>
          <w:rPr>
            <w:sz w:val="20"/>
            <w:szCs w:val="20"/>
          </w:rPr>
        </w:sdtEndPr>
        <w:sdtContent>
          <w:r>
            <w:t xml:space="preserve"> </w:t>
          </w:r>
          <w:r>
            <w:rPr>
              <w:sz w:val="20"/>
              <w:szCs w:val="20"/>
            </w:rPr>
            <w:t>Recomendar CAR-T como estrategia más activa para LCM R/R, especialmente en enfermedad de alto riesgo tras progresión a cBTKi; usar brexu-cel después de ≥1 líneas incluyendo cBTKi en pacientes jóvenes o aptos; usar liso-cel después de ≥2 líneas incluyendo cBTKi, especialmente en pacientes mayores, no aptos o con comorbilidades. Importante hay que reconocer que estas recomendaciones pueden no ser totalmente aplicables en regiones latinoamericanas con acceso limitado o nulo a CAR-T.</w:t>
          </w:r>
        </w:sdtContent>
      </w:sdt>
    </w:p>
    <w:p w14:paraId="000000B8" w14:textId="77777777" w:rsidR="00205D31" w:rsidRPr="000C6123" w:rsidRDefault="00000000" w:rsidP="00D3731D">
      <w:pPr>
        <w:pStyle w:val="Ttulo3"/>
        <w:keepNext w:val="0"/>
        <w:keepLines w:val="0"/>
        <w:spacing w:before="280"/>
        <w:jc w:val="both"/>
        <w:rPr>
          <w:b/>
          <w:color w:val="000000"/>
          <w:sz w:val="24"/>
          <w:szCs w:val="24"/>
        </w:rPr>
      </w:pPr>
      <w:bookmarkStart w:id="26" w:name="_heading=h.23kzzre0d8z3" w:colFirst="0" w:colLast="0"/>
      <w:bookmarkEnd w:id="26"/>
      <w:r>
        <w:rPr>
          <w:b/>
          <w:color w:val="000000"/>
          <w:sz w:val="24"/>
          <w:szCs w:val="24"/>
        </w:rPr>
        <w:t>5.5 ¿Qué papel tienen las nuevas terapias dirigidas (ADCs)?</w:t>
      </w:r>
    </w:p>
    <w:p w14:paraId="000000B9" w14:textId="77777777" w:rsidR="00205D31" w:rsidRDefault="00000000" w:rsidP="00D3731D">
      <w:pPr>
        <w:spacing w:before="240" w:after="240"/>
        <w:jc w:val="both"/>
        <w:rPr>
          <w:i/>
        </w:rPr>
      </w:pPr>
      <w:r>
        <w:rPr>
          <w:i/>
        </w:rPr>
        <w:t>LOS</w:t>
      </w:r>
      <w:r>
        <w:t xml:space="preserve"> </w:t>
      </w:r>
      <w:r>
        <w:rPr>
          <w:i/>
        </w:rPr>
        <w:t>ANTICUERPOS CONJUGADOS A DROGA (ADC) REPRESENTAN TERAPIAS EMERGENTES CON ACTIVIDAD PRELIMINAR EN LCM R/R. AÚN ESTAN EN FASES TEMPRANAS DE DESARROLLO. CONSIDERAR EN CONTEXTO DE ENSAYOS CLÍNICOS. NO SON OPCIONES ESTÁNDAR ACTUALMENTE.</w:t>
      </w:r>
    </w:p>
    <w:p w14:paraId="06DB5011" w14:textId="288B2A46" w:rsidR="00D171E5" w:rsidRPr="00D171E5" w:rsidRDefault="00D171E5" w:rsidP="00D3731D">
      <w:pPr>
        <w:spacing w:before="240" w:after="240"/>
        <w:jc w:val="both"/>
        <w:rPr>
          <w:i/>
        </w:rPr>
      </w:pPr>
      <w:r>
        <w:rPr>
          <w:b/>
          <w:bCs/>
          <w:iCs/>
        </w:rPr>
        <w:t xml:space="preserve">Justificación: </w:t>
      </w:r>
      <w:r>
        <w:rPr>
          <w:iCs/>
          <w:sz w:val="20"/>
          <w:szCs w:val="20"/>
        </w:rPr>
        <w:t>Loncastuximab tesirina (anti-CD19 con pirrolobenzodiazepina) en un ensayo fase I de LNH B R/R incluyó 15 pacientes con LCM logrando una TRG de 46.7%, SLP de 4.8 meses, con duración mediana de respuesta y SG no alcanzadas en pacientes con respuesta completa. La toxicidad fue generalmente manejable incluyendo citopenias, fatiga, náuseas, edema y alteraciones hepáticas. Polatuzumab vedotin (anti-CD79b con monometil auristatina E, MMAE) ha demostrado actividad relevante en linfoma de células del manto R/R, especialmente en combinación con anticuerpos biespecíficos. El ensayo fase I/II NP30179 (GO29044) evaluó polatuzumab vedotin en LNH B R/R e incluyó pacientes con LCM, mostrando actividad como agente único con TRG del 40-50%. De mayor relevancia es su combinación con mosunetuzumab (biespecífico anti-CD20/CD3), evaluada en el ensayo fase Ib GO40516, que incluyó pacientes con LNH B R/R incluyendo LCM. Esta combinación demostró sinergismo entre el redireccionamiento de células T mediado por el biespecífico y la citotoxicidad directa del ADC, con TRG del 60-67% y tasas de respuesta completa del 40-50% en la cohorte de LNH agresivo R/R. El perfil de toxicidad incluyó síndrome de liberación de citoquinas (SLC) grado 1-2 en el 30-40% de pacientes, citopenias y neuropatía periférica, siendo los eventos de grado 3/4 manejables. Esta combinación representa una estrategia sin quimioterapia de especial interés en pacientes no candidatos a tratamientos intensivos. Zilovertamab vedotin (anti-ROR1 con monometil auristatina E) tiene a ROR1 como diana terapéutica, proteína transmembrana ausente en tejidos maduros con alta expresión en neoplasias hematológicas. El ensayo fase I en LNH B R/R incluyó 17 pacientes con LCM y</w:t>
      </w:r>
      <w:r>
        <w:rPr>
          <w:i/>
          <w:sz w:val="20"/>
          <w:szCs w:val="20"/>
        </w:rPr>
        <w:t xml:space="preserve"> </w:t>
      </w:r>
      <w:r>
        <w:rPr>
          <w:iCs/>
          <w:sz w:val="20"/>
          <w:szCs w:val="20"/>
        </w:rPr>
        <w:t>mostró una TRG de 53%, duración mediana de respuesta de 10 meses y una SG a 18 meses. Efectos adversos grado 3/4 se vieron en 48% de pacientes y fueron mayormente hematológicos (neutropenia, trombocitopenia) y neuropatía periférica. Los ADCs representan una opción terapéutica con actividad clínica prometedora y un perfil de toxicidad aceptable; sin embargo, se necesita validación de estos resultados en estudios más grandes.</w:t>
      </w:r>
    </w:p>
    <w:p w14:paraId="303D007A" w14:textId="765BE1E3" w:rsidR="00D171E5" w:rsidRPr="00D171E5" w:rsidRDefault="00D171E5" w:rsidP="00D3731D">
      <w:pPr>
        <w:spacing w:before="240" w:after="240"/>
        <w:jc w:val="both"/>
        <w:rPr>
          <w:i/>
        </w:rPr>
      </w:pPr>
      <w:r>
        <w:rPr>
          <w:b/>
          <w:bCs/>
          <w:i/>
        </w:rPr>
        <w:t>Declaración (2C):</w:t>
      </w:r>
      <w:r>
        <w:rPr>
          <w:i/>
        </w:rPr>
        <w:t xml:space="preserve"> </w:t>
      </w:r>
      <w:r>
        <w:rPr>
          <w:iCs/>
          <w:sz w:val="20"/>
          <w:szCs w:val="20"/>
        </w:rPr>
        <w:t>Los ADCs (loncastuximab tesirina, polatuzumab vedotin, zilovertamab vedotin) y su combinación con anticuerpos biespecíficos tipo mosunetuzumab representan terapias emergentes con actividad preliminar en LCM R/R. La combinación polatuzumab vedotin–mosunetuzumab destaca por su perfil libre de quimioterapia y tasas de respuesta prometedoras, siendo de especial consideración en pacientes no candidatos a terapias intensivas. Ninguna de estas estrategias debe emplearse como opción estándar fuera de estudios prospectivos, dado que aún se encuentran en fases de desarrollo temprano y requieren validación adicional en cohortes más amplias y específicas de LCM.</w:t>
      </w:r>
    </w:p>
    <w:p w14:paraId="23AB9B03" w14:textId="1CE68E8C" w:rsidR="00EA2FA6" w:rsidRPr="004F4119" w:rsidRDefault="00D171E5" w:rsidP="000433E2">
      <w:pPr>
        <w:spacing w:before="60" w:after="60" w:line="260" w:lineRule="auto"/>
        <w:ind w:left="360" w:hanging="360"/>
        <w:jc w:val="both"/>
        <w:rPr>
          <w:b/>
          <w:bCs/>
          <w:color w:val="444444"/>
          <w:sz w:val="18"/>
          <w:szCs w:val="18"/>
          <w:lang w:val="es-VE"/>
        </w:rPr>
      </w:pPr>
      <w:r>
        <w:rPr>
          <w:b/>
          <w:bCs/>
          <w:color w:val="444444"/>
          <w:sz w:val="18"/>
          <w:szCs w:val="18"/>
          <w:lang w:val="es-VE"/>
        </w:rPr>
        <w:t xml:space="preserve">Bibliografía </w:t>
      </w:r>
    </w:p>
    <w:p w14:paraId="142D668A" w14:textId="2AE74CBB" w:rsidR="00D171E5" w:rsidRPr="000433E2" w:rsidRDefault="00D171E5" w:rsidP="000433E2">
      <w:pPr>
        <w:spacing w:before="60" w:after="60" w:line="260" w:lineRule="auto"/>
        <w:ind w:left="360" w:hanging="360"/>
        <w:jc w:val="both"/>
        <w:rPr>
          <w:color w:val="444444"/>
          <w:sz w:val="18"/>
          <w:szCs w:val="18"/>
          <w:lang w:val="en-US"/>
        </w:rPr>
      </w:pPr>
      <w:r>
        <w:rPr>
          <w:color w:val="444444"/>
          <w:sz w:val="18"/>
          <w:szCs w:val="18"/>
          <w:lang w:val="es-VE"/>
        </w:rPr>
        <w:lastRenderedPageBreak/>
        <w:t xml:space="preserve">1. Hamadani M, et al. </w:t>
      </w:r>
      <w:r>
        <w:rPr>
          <w:color w:val="444444"/>
          <w:sz w:val="18"/>
          <w:szCs w:val="18"/>
          <w:lang w:val="en-US"/>
        </w:rPr>
        <w:t>Loncastuximab tesirine in relapsed/refractory diffuse large B-cell lymphoma and mantle cell lymphoma: Phase I study. J Clin Oncol. 2021;39(14):1559–1570.</w:t>
      </w:r>
    </w:p>
    <w:p w14:paraId="626F3064" w14:textId="2C538076" w:rsidR="00D171E5" w:rsidRPr="000433E2" w:rsidRDefault="00D171E5" w:rsidP="00D3731D">
      <w:pPr>
        <w:spacing w:before="60" w:after="60" w:line="260" w:lineRule="auto"/>
        <w:ind w:left="360" w:hanging="360"/>
        <w:jc w:val="both"/>
        <w:rPr>
          <w:color w:val="444444"/>
          <w:sz w:val="18"/>
          <w:szCs w:val="18"/>
          <w:lang w:val="en-US"/>
        </w:rPr>
      </w:pPr>
      <w:r>
        <w:rPr>
          <w:color w:val="444444"/>
          <w:sz w:val="18"/>
          <w:szCs w:val="18"/>
          <w:lang w:val="en-US"/>
        </w:rPr>
        <w:t>2. Cheah CY, et al. Polatuzumab vedotin in relapsed/refractory B-cell non-Hodgkin lymphoma: Final results from a Phase I study. Blood. 2019;133(26):2750–2758.</w:t>
      </w:r>
    </w:p>
    <w:p w14:paraId="490F0A7F" w14:textId="047BAA62" w:rsidR="00D171E5" w:rsidRPr="000433E2" w:rsidRDefault="00D171E5" w:rsidP="00D3731D">
      <w:pPr>
        <w:spacing w:before="60" w:after="60" w:line="260" w:lineRule="auto"/>
        <w:ind w:left="360" w:hanging="360"/>
        <w:jc w:val="both"/>
        <w:rPr>
          <w:color w:val="444444"/>
          <w:sz w:val="18"/>
          <w:szCs w:val="18"/>
          <w:lang w:val="en-US"/>
        </w:rPr>
      </w:pPr>
      <w:r>
        <w:rPr>
          <w:color w:val="444444"/>
          <w:sz w:val="18"/>
          <w:szCs w:val="18"/>
          <w:lang w:val="en-US"/>
        </w:rPr>
        <w:t>3. Budde LE, et al. Mosunetuzumab plus polatuzumab vedotin in relapsed/refractory B-cell non-Hodgkin lymphoma: Updated results from a Phase Ib/II study (GO40516). Lancet Haematol. 2022;9(10):e745–e757.</w:t>
      </w:r>
    </w:p>
    <w:p w14:paraId="1CFF2F46" w14:textId="2C6C00A5" w:rsidR="00D171E5" w:rsidRPr="000433E2" w:rsidRDefault="00D171E5" w:rsidP="00D3731D">
      <w:pPr>
        <w:spacing w:before="60" w:after="60" w:line="260" w:lineRule="auto"/>
        <w:ind w:left="360" w:hanging="360"/>
        <w:jc w:val="both"/>
        <w:rPr>
          <w:color w:val="444444"/>
          <w:sz w:val="18"/>
          <w:szCs w:val="18"/>
          <w:lang w:val="en-US"/>
        </w:rPr>
      </w:pPr>
      <w:r>
        <w:rPr>
          <w:color w:val="444444"/>
          <w:sz w:val="18"/>
          <w:szCs w:val="18"/>
          <w:lang w:val="en-US"/>
        </w:rPr>
        <w:t>4. Maddocks KJ, et al. Zilovertamab vedotin (MK-2140) in relapsed/refractory B-cell lymphoma including mantle cell lymphoma: Phase I results. J Clin Oncol. 2023;41(12):2235–2245.</w:t>
      </w:r>
    </w:p>
    <w:p w14:paraId="01CAE1E2" w14:textId="638B767E" w:rsidR="00D171E5" w:rsidRPr="004F4119" w:rsidRDefault="00D171E5" w:rsidP="00D3731D">
      <w:pPr>
        <w:spacing w:before="60" w:after="60" w:line="260" w:lineRule="auto"/>
        <w:ind w:left="360" w:hanging="360"/>
        <w:jc w:val="both"/>
        <w:rPr>
          <w:color w:val="444444"/>
          <w:sz w:val="18"/>
          <w:szCs w:val="18"/>
          <w:lang w:val="es-VE"/>
        </w:rPr>
      </w:pPr>
      <w:r>
        <w:rPr>
          <w:color w:val="444444"/>
          <w:sz w:val="18"/>
          <w:szCs w:val="18"/>
          <w:lang w:val="en-US"/>
        </w:rPr>
        <w:t xml:space="preserve">5. Wang M, et al. KTE-X19 CAR T-cell therapy in relapsed or refractory mantle-cell lymphoma. </w:t>
      </w:r>
      <w:r>
        <w:rPr>
          <w:color w:val="444444"/>
          <w:sz w:val="18"/>
          <w:szCs w:val="18"/>
          <w:lang w:val="es-VE"/>
        </w:rPr>
        <w:t>N Engl J Med.* 2020;382(14):1331–1342</w:t>
      </w:r>
    </w:p>
    <w:p w14:paraId="56912F94" w14:textId="77777777" w:rsidR="00EA2FA6" w:rsidRDefault="00EA2FA6" w:rsidP="00D3731D">
      <w:pPr>
        <w:spacing w:before="60" w:after="60" w:line="260" w:lineRule="auto"/>
        <w:ind w:left="360" w:hanging="360"/>
        <w:jc w:val="both"/>
        <w:rPr>
          <w:i/>
        </w:rPr>
      </w:pPr>
    </w:p>
    <w:p w14:paraId="3B4F3CCC" w14:textId="77777777" w:rsidR="00F64147" w:rsidRDefault="00F64147" w:rsidP="00D3731D">
      <w:pPr>
        <w:spacing w:before="60" w:after="60" w:line="260" w:lineRule="auto"/>
        <w:ind w:left="360" w:hanging="360"/>
        <w:jc w:val="both"/>
        <w:rPr>
          <w:i/>
        </w:rPr>
      </w:pPr>
    </w:p>
    <w:p w14:paraId="53E484B9" w14:textId="77777777" w:rsidR="00F64147" w:rsidRDefault="00F64147" w:rsidP="00D3731D">
      <w:pPr>
        <w:spacing w:before="60" w:after="60" w:line="260" w:lineRule="auto"/>
        <w:ind w:left="360" w:hanging="360"/>
        <w:jc w:val="both"/>
        <w:rPr>
          <w:i/>
        </w:rPr>
      </w:pPr>
    </w:p>
    <w:p w14:paraId="4F99713D" w14:textId="77777777" w:rsidR="00F64147" w:rsidRDefault="00F64147" w:rsidP="00D3731D">
      <w:pPr>
        <w:spacing w:before="60" w:after="60" w:line="260" w:lineRule="auto"/>
        <w:ind w:left="360" w:hanging="360"/>
        <w:jc w:val="both"/>
        <w:rPr>
          <w:i/>
        </w:rPr>
      </w:pPr>
    </w:p>
    <w:p w14:paraId="3B9483CB" w14:textId="77777777" w:rsidR="000433E2" w:rsidRDefault="000433E2" w:rsidP="00D3731D">
      <w:pPr>
        <w:spacing w:after="200"/>
        <w:jc w:val="both"/>
        <w:rPr>
          <w:b/>
          <w:bCs/>
          <w:sz w:val="24"/>
          <w:szCs w:val="24"/>
        </w:rPr>
      </w:pPr>
      <w:bookmarkStart w:id="27" w:name="_heading=h.snby2g2ans7g" w:colFirst="0" w:colLast="0"/>
      <w:bookmarkEnd w:id="27"/>
    </w:p>
    <w:p w14:paraId="387260DF" w14:textId="4C001E3A" w:rsidR="008C16F2" w:rsidRDefault="008C16F2" w:rsidP="00D3731D">
      <w:pPr>
        <w:spacing w:after="200"/>
        <w:jc w:val="both"/>
      </w:pPr>
      <w:r>
        <w:rPr>
          <w:b/>
          <w:bCs/>
          <w:sz w:val="24"/>
          <w:szCs w:val="24"/>
        </w:rPr>
        <w:t>6. MANTENIMIENTO CON RITUXIMAB: ESTRATEGIAS Y DURACIÓN</w:t>
      </w:r>
    </w:p>
    <w:p w14:paraId="16FB2767" w14:textId="72D9A28E" w:rsidR="008C16F2" w:rsidRPr="000C6123" w:rsidRDefault="008C16F2" w:rsidP="00D3731D">
      <w:pPr>
        <w:spacing w:after="240"/>
        <w:jc w:val="both"/>
        <w:rPr>
          <w:b/>
          <w:bCs/>
          <w:sz w:val="32"/>
          <w:szCs w:val="32"/>
        </w:rPr>
      </w:pPr>
      <w:r>
        <w:rPr>
          <w:b/>
          <w:bCs/>
          <w:i/>
          <w:iCs/>
          <w:sz w:val="20"/>
          <w:szCs w:val="20"/>
        </w:rPr>
        <w:t xml:space="preserve"> </w:t>
      </w:r>
      <w:r>
        <w:rPr>
          <w:b/>
          <w:bCs/>
          <w:i/>
          <w:iCs/>
          <w:sz w:val="24"/>
          <w:szCs w:val="24"/>
        </w:rPr>
        <w:t>Dr. Carlos Chiattone, MD, PhD (Brasil), Dra. Lidiane Ladino (Paraguay), Dr. Juan Alejandro Ospina (Colombia), Dra. Ana Ramírez (México)</w:t>
      </w:r>
    </w:p>
    <w:p w14:paraId="3C234C78" w14:textId="77777777" w:rsidR="008C16F2" w:rsidRPr="000C6123" w:rsidRDefault="008C16F2" w:rsidP="00D3731D">
      <w:pPr>
        <w:spacing w:before="260" w:after="120"/>
        <w:jc w:val="both"/>
        <w:rPr>
          <w:sz w:val="32"/>
          <w:szCs w:val="32"/>
        </w:rPr>
      </w:pPr>
      <w:r>
        <w:rPr>
          <w:b/>
          <w:bCs/>
          <w:sz w:val="24"/>
          <w:szCs w:val="24"/>
        </w:rPr>
        <w:t>6.1 ¿Debe considerarse el mantenimiento con rituximab post-auto-TPH como estándar en pacientes con LCM en primera remisión?</w:t>
      </w:r>
    </w:p>
    <w:p w14:paraId="31397E52" w14:textId="77777777" w:rsidR="008C16F2" w:rsidRPr="00172E82" w:rsidRDefault="008C16F2" w:rsidP="00D3731D">
      <w:pPr>
        <w:spacing w:after="140"/>
        <w:jc w:val="both"/>
        <w:rPr>
          <w:i/>
          <w:iCs/>
        </w:rPr>
      </w:pPr>
      <w:r>
        <w:rPr>
          <w:i/>
          <w:iCs/>
        </w:rPr>
        <w:t>SÍ, EL MANTENIMIENTO CON RITUXIMAB DEBE CONSIDERARSE ESTÁNDAR DE CUIDADO PARA TODOS LOS PACIENTES QUE RESPONDEN A INDUCCIÓN, COMO INTERVENCIÓN UNIVERSAL POST-AUTO-TPH O POST-INDUCCIÓN CON QUIMIOINMUNOTERAPIA + BTKi EN AUSENCIA DE TRASPLANTE (TRIANGLE).</w:t>
      </w:r>
      <w:r>
        <w:rPr>
          <w:i/>
          <w:iCs/>
          <w:vertAlign w:val="superscript"/>
        </w:rPr>
        <w:t>1,2</w:t>
      </w:r>
      <w:r>
        <w:rPr>
          <w:i/>
          <w:iCs/>
        </w:rPr>
        <w:t xml:space="preserve"> ES UNA INTERVENCIÓN COSTO-EFECTIVA CON IMPACTO DEMOSTRADO EN SUPERVIVENCIA, RELATIVAMENTE ACCESIBLE EN AMÉRICA LATINA. DURACIÓN MÍNIMA: 3 AÑOS. POST-AUTO-TPH UNIVERSAL EN PRIMERA LÍNEA DEMUESTRA REDUCCIÓN DE MORTALIDAD 22.6% VS 33.3%.</w:t>
      </w:r>
      <w:r>
        <w:rPr>
          <w:i/>
          <w:iCs/>
          <w:vertAlign w:val="superscript"/>
        </w:rPr>
        <w:t>1</w:t>
      </w:r>
      <w:r>
        <w:rPr>
          <w:i/>
          <w:iCs/>
        </w:rPr>
        <w:t xml:space="preserve"> ACTUALMENTE SUBUTILIZADO: 19.4% (&lt;65 AÑOS), 27.4% (≥65 AÑOS).</w:t>
      </w:r>
      <w:r>
        <w:rPr>
          <w:i/>
          <w:iCs/>
          <w:vertAlign w:val="superscript"/>
        </w:rPr>
        <w:t>15,16</w:t>
      </w:r>
    </w:p>
    <w:p w14:paraId="05AFEAC2" w14:textId="6E04EDAF" w:rsidR="008C16F2" w:rsidRDefault="008C16F2" w:rsidP="00D3731D">
      <w:pPr>
        <w:spacing w:after="140"/>
        <w:jc w:val="both"/>
      </w:pPr>
      <w:r>
        <w:rPr>
          <w:b/>
          <w:bCs/>
        </w:rPr>
        <w:t xml:space="preserve">Justificación:  </w:t>
      </w:r>
      <w:r>
        <w:rPr>
          <w:sz w:val="20"/>
          <w:szCs w:val="20"/>
        </w:rPr>
        <w:t>El estudio LyMa (NEJM 2017)</w:t>
      </w:r>
      <w:r>
        <w:rPr>
          <w:sz w:val="16"/>
          <w:szCs w:val="16"/>
          <w:vertAlign w:val="superscript"/>
        </w:rPr>
        <w:t>1</w:t>
      </w:r>
      <w:r>
        <w:rPr>
          <w:sz w:val="20"/>
          <w:szCs w:val="20"/>
        </w:rPr>
        <w:t xml:space="preserve"> demostró que el mantenimiento con rituximab (375 mg/m² cada 8 semanas × 3 años) post-trasplante autólogo mejora significativamente la SLP y la SG en LCM en primera remisión. El seguimiento a largo plazo confirma la durabilidad del beneficio con SLP a 7 años de 78.5% versus 47.4% (HR 0.36, IC95% 0.23–0.56, p&lt;0.0001) en mantenimiento versus observación; SG a 7 años de 83.2% versus 72.2% (HR 0.63, IC95% 0.37–1.08, p=0.088).</w:t>
      </w:r>
      <w:r>
        <w:rPr>
          <w:sz w:val="16"/>
          <w:szCs w:val="16"/>
          <w:vertAlign w:val="superscript"/>
        </w:rPr>
        <w:t>1</w:t>
      </w:r>
      <w:r>
        <w:rPr>
          <w:sz w:val="20"/>
          <w:szCs w:val="20"/>
        </w:rPr>
        <w:t xml:space="preserve"> Los resultados son reproducibles en múltiples revisiones y guías de práctica clínica.</w:t>
      </w:r>
      <w:r>
        <w:rPr>
          <w:sz w:val="16"/>
          <w:szCs w:val="16"/>
          <w:vertAlign w:val="superscript"/>
        </w:rPr>
        <w:t>15,16</w:t>
      </w:r>
      <w:r>
        <w:rPr>
          <w:sz w:val="20"/>
          <w:szCs w:val="20"/>
        </w:rPr>
        <w:t xml:space="preserve"> El mantenimiento con rituximab mejora la SLP independientemente del estado de MRD (HR 0.33 post-auto-TPH) y mejora la SG post-auto-TPH (HR 0.35).</w:t>
      </w:r>
      <w:r>
        <w:rPr>
          <w:sz w:val="16"/>
          <w:szCs w:val="16"/>
          <w:vertAlign w:val="superscript"/>
        </w:rPr>
        <w:t>1</w:t>
      </w:r>
      <w:r>
        <w:rPr>
          <w:sz w:val="20"/>
          <w:szCs w:val="20"/>
        </w:rPr>
        <w:t xml:space="preserve"> La evidencia de fase 3 con seguimiento prolongado demuestra beneficio consistente; el régimen es bien tolerado; la intervención está disponible y es costo-efectiva; representa el estándar de cuidado internacional donde está disponible.</w:t>
      </w:r>
    </w:p>
    <w:p w14:paraId="48CDB538" w14:textId="5E45BEB5" w:rsidR="008C16F2" w:rsidRDefault="008C16F2" w:rsidP="00D3731D">
      <w:pPr>
        <w:spacing w:after="200"/>
        <w:jc w:val="both"/>
      </w:pPr>
      <w:r>
        <w:rPr>
          <w:b/>
          <w:bCs/>
        </w:rPr>
        <w:t xml:space="preserve">Declaración (1A): </w:t>
      </w:r>
      <w:r>
        <w:rPr>
          <w:sz w:val="20"/>
          <w:szCs w:val="20"/>
        </w:rPr>
        <w:t>Recomendar mantenimiento universal con rituximab post-auto-TPH en primera remisión como estándar de cuidado para todos los pacientes que responden a inducción, con duración mínima de 2–3 años donde esté disponible; reconocer que esta intervención está actualmente subutilizada a pesar del beneficio demostrado en supervivencia.</w:t>
      </w:r>
      <w:r>
        <w:rPr>
          <w:sz w:val="16"/>
          <w:szCs w:val="16"/>
          <w:vertAlign w:val="superscript"/>
        </w:rPr>
        <w:t>1</w:t>
      </w:r>
    </w:p>
    <w:p w14:paraId="16AE0DA6" w14:textId="77777777" w:rsidR="008C16F2" w:rsidRPr="000C6123" w:rsidRDefault="008C16F2" w:rsidP="00D3731D">
      <w:pPr>
        <w:spacing w:before="260" w:after="120"/>
        <w:jc w:val="both"/>
        <w:rPr>
          <w:sz w:val="32"/>
          <w:szCs w:val="32"/>
        </w:rPr>
      </w:pPr>
      <w:r>
        <w:rPr>
          <w:b/>
          <w:bCs/>
          <w:sz w:val="24"/>
          <w:szCs w:val="24"/>
        </w:rPr>
        <w:lastRenderedPageBreak/>
        <w:t>6.2 ¿Está recomendado el mantenimiento con rituximab independientemente del régimen de inducción previo?</w:t>
      </w:r>
    </w:p>
    <w:p w14:paraId="2E4E46CA" w14:textId="77777777" w:rsidR="008C16F2" w:rsidRPr="00172E82" w:rsidRDefault="008C16F2" w:rsidP="00D3731D">
      <w:pPr>
        <w:spacing w:after="140"/>
        <w:jc w:val="both"/>
        <w:rPr>
          <w:i/>
          <w:iCs/>
        </w:rPr>
      </w:pPr>
      <w:r>
        <w:rPr>
          <w:i/>
          <w:iCs/>
          <w:sz w:val="20"/>
          <w:szCs w:val="20"/>
        </w:rPr>
        <w:t>SÍ, EL MANTENIMIENTO CON RITUXIMAB ESTÁ RECOMENDADO INDEPENDIENTEMENTE DEL RÉGIMEN DE INDUCCIÓN PREVIO. ES APLICABLE POST-INDUCCIÓN CON CITARABINA (COMO EN LyMa</w:t>
      </w:r>
      <w:r>
        <w:rPr>
          <w:i/>
          <w:iCs/>
          <w:sz w:val="16"/>
          <w:szCs w:val="16"/>
          <w:vertAlign w:val="superscript"/>
        </w:rPr>
        <w:t>1</w:t>
      </w:r>
      <w:r>
        <w:rPr>
          <w:i/>
          <w:iCs/>
          <w:sz w:val="20"/>
          <w:szCs w:val="20"/>
        </w:rPr>
        <w:t>), POST-R-CHOP EN PACIENTES MAYORES,</w:t>
      </w:r>
      <w:r>
        <w:rPr>
          <w:i/>
          <w:iCs/>
          <w:sz w:val="16"/>
          <w:szCs w:val="16"/>
          <w:vertAlign w:val="superscript"/>
        </w:rPr>
        <w:t>15</w:t>
      </w:r>
      <w:r>
        <w:rPr>
          <w:i/>
          <w:iCs/>
          <w:sz w:val="20"/>
          <w:szCs w:val="20"/>
        </w:rPr>
        <w:t xml:space="preserve"> Y POST-BENDAMUSTINA-RITUXIMAB.</w:t>
      </w:r>
      <w:r>
        <w:rPr>
          <w:i/>
          <w:iCs/>
          <w:sz w:val="16"/>
          <w:szCs w:val="16"/>
          <w:vertAlign w:val="superscript"/>
        </w:rPr>
        <w:t>15</w:t>
      </w:r>
      <w:r>
        <w:rPr>
          <w:i/>
          <w:iCs/>
          <w:sz w:val="20"/>
          <w:szCs w:val="20"/>
        </w:rPr>
        <w:t xml:space="preserve"> LA CONDICIÓN ES QUE DEBE DOCUMENTARSE SENSIBILIDAD A RITUXIMAB.</w:t>
      </w:r>
    </w:p>
    <w:p w14:paraId="0BFE70AD" w14:textId="7E0469CB" w:rsidR="008C16F2" w:rsidRDefault="008C16F2" w:rsidP="00D3731D">
      <w:pPr>
        <w:spacing w:after="140"/>
        <w:jc w:val="both"/>
      </w:pPr>
      <w:r>
        <w:rPr>
          <w:b/>
          <w:bCs/>
        </w:rPr>
        <w:t xml:space="preserve">Justificación: </w:t>
      </w:r>
      <w:r>
        <w:rPr>
          <w:sz w:val="20"/>
          <w:szCs w:val="20"/>
        </w:rPr>
        <w:t>LyMa</w:t>
      </w:r>
      <w:r>
        <w:rPr>
          <w:sz w:val="16"/>
          <w:szCs w:val="16"/>
          <w:vertAlign w:val="superscript"/>
        </w:rPr>
        <w:t>1</w:t>
      </w:r>
      <w:r>
        <w:rPr>
          <w:sz w:val="20"/>
          <w:szCs w:val="20"/>
        </w:rPr>
        <w:t xml:space="preserve"> utilizó inducción con citarabina y demostró beneficio independiente de la profundidad de respuesta. Post-inducción con R-CHOP, el mantenimiento con rituximab fue superior a interferón con SLP mediana de 5.4 versus 1.9 años (p&lt;0.001) y SG mediana de 9.8 versus 7.1 años (p=0.0026).</w:t>
      </w:r>
      <w:r>
        <w:rPr>
          <w:sz w:val="16"/>
          <w:szCs w:val="16"/>
          <w:vertAlign w:val="superscript"/>
        </w:rPr>
        <w:t>15</w:t>
      </w:r>
      <w:r>
        <w:rPr>
          <w:sz w:val="20"/>
          <w:szCs w:val="20"/>
        </w:rPr>
        <w:t xml:space="preserve"> Post-bendamustina-rituximab, el estudio MANTAIN (n=120) no mostró superioridad (muestra limitada), pero estudios retrospectivos demuestran beneficio; una cohorte mayor (n=796) mostró SLP mediana de 47.1 versus 29.7 meses (HR 0.59, IC95% 0.48–0.73) y SG mediana de 136.1 versus 74.3 meses (HR 0.57, IC95% 0.44–0.75, p=0.001).</w:t>
      </w:r>
      <w:r>
        <w:rPr>
          <w:sz w:val="16"/>
          <w:szCs w:val="16"/>
          <w:vertAlign w:val="superscript"/>
        </w:rPr>
        <w:t>15</w:t>
      </w:r>
      <w:r>
        <w:rPr>
          <w:sz w:val="20"/>
          <w:szCs w:val="20"/>
        </w:rPr>
        <w:t xml:space="preserve"> El concepto de mantenimiento anti-CD20 añade valor tras inducción efectiva independiente del régimen; el beneficio se mantiene siempre que exista sensibilidad documentada a rituximab.</w:t>
      </w:r>
    </w:p>
    <w:p w14:paraId="3B3566A7" w14:textId="0A5B9539" w:rsidR="008C16F2" w:rsidRDefault="008C16F2" w:rsidP="00D3731D">
      <w:pPr>
        <w:spacing w:after="200"/>
        <w:jc w:val="both"/>
      </w:pPr>
      <w:r>
        <w:rPr>
          <w:b/>
          <w:bCs/>
        </w:rPr>
        <w:t xml:space="preserve">Declaración (1B): </w:t>
      </w:r>
      <w:r>
        <w:rPr>
          <w:sz w:val="20"/>
          <w:szCs w:val="20"/>
        </w:rPr>
        <w:t>Recomendar mantenimiento con rituximab independientemente del régimen de inducción (con citarabina, R-CHOP o bendamustina-rituximab), siempre que se documente sensibilidad a rituximab.</w:t>
      </w:r>
      <w:r>
        <w:rPr>
          <w:sz w:val="16"/>
          <w:szCs w:val="16"/>
          <w:vertAlign w:val="superscript"/>
        </w:rPr>
        <w:t>1,15</w:t>
      </w:r>
    </w:p>
    <w:p w14:paraId="0AAFEB4A" w14:textId="77777777" w:rsidR="008C16F2" w:rsidRPr="000C6123" w:rsidRDefault="008C16F2" w:rsidP="00D3731D">
      <w:pPr>
        <w:spacing w:before="260" w:after="120"/>
        <w:jc w:val="both"/>
        <w:rPr>
          <w:sz w:val="32"/>
          <w:szCs w:val="32"/>
        </w:rPr>
      </w:pPr>
      <w:r>
        <w:rPr>
          <w:b/>
          <w:bCs/>
          <w:sz w:val="24"/>
          <w:szCs w:val="24"/>
        </w:rPr>
        <w:t>6.3 ¿Está indicado el mantenimiento con rituximab en pacientes con enfermedad refractaria a rituximab?</w:t>
      </w:r>
    </w:p>
    <w:p w14:paraId="19E22876" w14:textId="77777777" w:rsidR="008C16F2" w:rsidRPr="00172E82" w:rsidRDefault="008C16F2" w:rsidP="00D3731D">
      <w:pPr>
        <w:spacing w:after="140"/>
        <w:jc w:val="both"/>
        <w:rPr>
          <w:i/>
          <w:iCs/>
        </w:rPr>
      </w:pPr>
      <w:r>
        <w:rPr>
          <w:i/>
          <w:iCs/>
        </w:rPr>
        <w:t>NO, NO SE DEBE OFRECER MANTENIMIENTO CON RITUXIMAB EN ENFERMEDAD REFRACTARIA A RITUXIMAB. REFRACTARIO SE DEFINE COMO PROGRESIÓN DURANTE TERAPIA BASADA EN RITUXIMAB O RECAÍDA DENTRO DE 6 MESES DE LA ÚLTIMA DOSIS DE RITUXIMAB. NO EXISTE INFORMACIÓN SOBRE RESULTADOS EN PACIENTES CON LCM REFRACTARIOS A RITUXIMAB EN EL CONTEXTO DE MANTENIMIENTO.</w:t>
      </w:r>
      <w:r>
        <w:rPr>
          <w:i/>
          <w:iCs/>
          <w:vertAlign w:val="superscript"/>
        </w:rPr>
        <w:t>15,16</w:t>
      </w:r>
    </w:p>
    <w:p w14:paraId="143701A6" w14:textId="2288CA4D" w:rsidR="008C16F2" w:rsidRDefault="008C16F2" w:rsidP="00D3731D">
      <w:pPr>
        <w:spacing w:after="140"/>
        <w:jc w:val="both"/>
      </w:pPr>
      <w:r>
        <w:rPr>
          <w:b/>
          <w:bCs/>
        </w:rPr>
        <w:t xml:space="preserve">Justificación: </w:t>
      </w:r>
      <w:r>
        <w:rPr>
          <w:sz w:val="20"/>
          <w:szCs w:val="20"/>
        </w:rPr>
        <w:t>El beneficio del mantenimiento presupone sensibilidad a CD20/rituximab; la biología refractaria se asocia con baja probabilidad de beneficio.</w:t>
      </w:r>
      <w:r>
        <w:rPr>
          <w:sz w:val="16"/>
          <w:szCs w:val="16"/>
          <w:vertAlign w:val="superscript"/>
        </w:rPr>
        <w:t>15</w:t>
      </w:r>
      <w:r>
        <w:rPr>
          <w:sz w:val="20"/>
          <w:szCs w:val="20"/>
        </w:rPr>
        <w:t xml:space="preserve"> La refractariedad previa predice falta de respuesta al mantenimiento; el balance riesgo-beneficio es desfavorable en esta población; los recursos limitados deben dirigirse a pacientes con mayor probabilidad de beneficio; el incremento de riesgo infeccioso no se justifica sin beneficio esperado.</w:t>
      </w:r>
      <w:r>
        <w:rPr>
          <w:sz w:val="16"/>
          <w:szCs w:val="16"/>
          <w:vertAlign w:val="superscript"/>
        </w:rPr>
        <w:t>15,16</w:t>
      </w:r>
    </w:p>
    <w:p w14:paraId="1D46FB6C" w14:textId="28CF92DB" w:rsidR="008C16F2" w:rsidRDefault="008C16F2" w:rsidP="00D3731D">
      <w:pPr>
        <w:spacing w:after="200"/>
        <w:jc w:val="both"/>
      </w:pPr>
      <w:r>
        <w:rPr>
          <w:b/>
          <w:bCs/>
        </w:rPr>
        <w:t xml:space="preserve">Declaración (2C): </w:t>
      </w:r>
      <w:r>
        <w:rPr>
          <w:sz w:val="20"/>
          <w:szCs w:val="20"/>
        </w:rPr>
        <w:t>No se recomienda el mantenimiento con rituximab en enfermedad refractaria a rituximab. Se define refractariedad como progresión durante terapia basada en rituximab o recaída dentro de los 6 meses siguientes a la última dosis (Nivel de evidencia: II-A). Antes de iniciar o reiniciar cualquier estrategia de mantenimiento con anti-CD20, se recomienda verificar la expresión de CD20 mediante inmunohistoquímica o citometría de flujo en muestra de biopsia reciente. La pérdida de expresión del antígeno CD20, parcial o completa, ha sido documentada en pacientes con linfoma B previamente tratados con rituximab y constituye un mecanismo establecido de resistencia primaria en linfoma de células del manto. Su presencia hace ineficaz cualquier estrategia dependiente de este blanco terapéutico.</w:t>
      </w:r>
      <w:r>
        <w:rPr>
          <w:sz w:val="16"/>
          <w:szCs w:val="16"/>
          <w:vertAlign w:val="superscript"/>
        </w:rPr>
        <w:t>15,16</w:t>
      </w:r>
    </w:p>
    <w:p w14:paraId="472827F7" w14:textId="77777777" w:rsidR="008C16F2" w:rsidRPr="000C6123" w:rsidRDefault="008C16F2" w:rsidP="00D3731D">
      <w:pPr>
        <w:spacing w:before="260" w:after="120"/>
        <w:jc w:val="both"/>
        <w:rPr>
          <w:sz w:val="32"/>
          <w:szCs w:val="32"/>
        </w:rPr>
      </w:pPr>
      <w:r>
        <w:rPr>
          <w:b/>
          <w:bCs/>
          <w:sz w:val="24"/>
          <w:szCs w:val="24"/>
        </w:rPr>
        <w:t>6.4 ¿Debe ofrecerse el mantenimiento con rituximab solo a pacientes en respuesta completa o también en respuesta parcial post-auto-TPH?</w:t>
      </w:r>
    </w:p>
    <w:p w14:paraId="6A91FE61" w14:textId="77777777" w:rsidR="008C16F2" w:rsidRPr="00172E82" w:rsidRDefault="008C16F2" w:rsidP="00D3731D">
      <w:pPr>
        <w:spacing w:after="140"/>
        <w:jc w:val="both"/>
        <w:rPr>
          <w:i/>
          <w:iCs/>
        </w:rPr>
      </w:pPr>
      <w:r>
        <w:rPr>
          <w:i/>
          <w:iCs/>
        </w:rPr>
        <w:t xml:space="preserve">OFRECER MANTENIMIENTO CON RITUXIMAB A PACIENTES CON RESPUESTA COMPLETA (RC) O RESPUESTA PARCIAL (RP) POST-AUTO-TPH. AUNQUE NO </w:t>
      </w:r>
      <w:r>
        <w:rPr>
          <w:i/>
          <w:iCs/>
        </w:rPr>
        <w:lastRenderedPageBreak/>
        <w:t>EXISTEN ESTUDIOS COMPARATIVOS POR TIPO DE RESPUESTA, LOS RESULTADOS GENERALES APOYAN MANTENIMIENTO EN AMBOS ESCENARIOS.</w:t>
      </w:r>
      <w:r>
        <w:rPr>
          <w:i/>
          <w:iCs/>
          <w:vertAlign w:val="superscript"/>
        </w:rPr>
        <w:t>1</w:t>
      </w:r>
    </w:p>
    <w:p w14:paraId="7DD8AC4C" w14:textId="3E419CD2" w:rsidR="008C16F2" w:rsidRDefault="008C16F2" w:rsidP="00D3731D">
      <w:pPr>
        <w:spacing w:after="140"/>
        <w:jc w:val="both"/>
      </w:pPr>
      <w:r>
        <w:rPr>
          <w:b/>
          <w:bCs/>
          <w:sz w:val="20"/>
          <w:szCs w:val="20"/>
        </w:rPr>
        <w:t xml:space="preserve">Justificación: </w:t>
      </w:r>
      <w:r>
        <w:rPr>
          <w:sz w:val="20"/>
          <w:szCs w:val="20"/>
        </w:rPr>
        <w:t>El estudio LyMa</w:t>
      </w:r>
      <w:r>
        <w:rPr>
          <w:sz w:val="16"/>
          <w:szCs w:val="16"/>
          <w:vertAlign w:val="superscript"/>
        </w:rPr>
        <w:t>1</w:t>
      </w:r>
      <w:r>
        <w:rPr>
          <w:sz w:val="20"/>
          <w:szCs w:val="20"/>
        </w:rPr>
        <w:t xml:space="preserve"> no presenta resultados estratificados por subgrupos de respuesta (RC vs RP); no existen estudios aleatorizados que respondan específicamente esta pregunta; los beneficios generales observados en estudios pivotales incluyen pacientes con diferentes calidades de respuesta.</w:t>
      </w:r>
      <w:r>
        <w:rPr>
          <w:sz w:val="16"/>
          <w:szCs w:val="16"/>
          <w:vertAlign w:val="superscript"/>
        </w:rPr>
        <w:t>1</w:t>
      </w:r>
      <w:r>
        <w:rPr>
          <w:sz w:val="20"/>
          <w:szCs w:val="20"/>
        </w:rPr>
        <w:t xml:space="preserve"> La evidencia disponible no justifica excluir pacientes en RP del mantenimiento; en ausencia de datos específicos, es más seguro incluir que excluir pacientes en RP.</w:t>
      </w:r>
    </w:p>
    <w:p w14:paraId="7C56D060" w14:textId="2F441B93" w:rsidR="008C16F2" w:rsidRDefault="008C16F2" w:rsidP="00D3731D">
      <w:pPr>
        <w:spacing w:after="200"/>
        <w:jc w:val="both"/>
      </w:pPr>
      <w:r>
        <w:rPr>
          <w:b/>
          <w:bCs/>
          <w:sz w:val="20"/>
          <w:szCs w:val="20"/>
        </w:rPr>
        <w:t xml:space="preserve">Declaración (2C): </w:t>
      </w:r>
      <w:r>
        <w:rPr>
          <w:sz w:val="20"/>
          <w:szCs w:val="20"/>
        </w:rPr>
        <w:t>Ofrecer mantenimiento con rituximab a pacientes con respuesta completa o respuesta parcial post-auto-TPH, ya que la evidencia disponible no justifica excluir respondedores parciales y los beneficios generales han sido demostrados a través de diferentes profundidades de respuesta.</w:t>
      </w:r>
      <w:r>
        <w:rPr>
          <w:sz w:val="16"/>
          <w:szCs w:val="16"/>
          <w:vertAlign w:val="superscript"/>
        </w:rPr>
        <w:t>1</w:t>
      </w:r>
    </w:p>
    <w:p w14:paraId="2984DAF4" w14:textId="77777777" w:rsidR="008C16F2" w:rsidRPr="000C6123" w:rsidRDefault="008C16F2" w:rsidP="00D3731D">
      <w:pPr>
        <w:spacing w:before="260" w:after="120"/>
        <w:jc w:val="both"/>
        <w:rPr>
          <w:sz w:val="32"/>
          <w:szCs w:val="32"/>
        </w:rPr>
      </w:pPr>
      <w:r>
        <w:rPr>
          <w:b/>
          <w:bCs/>
        </w:rPr>
        <w:t>6</w:t>
      </w:r>
      <w:r>
        <w:rPr>
          <w:b/>
          <w:bCs/>
          <w:sz w:val="24"/>
          <w:szCs w:val="24"/>
        </w:rPr>
        <w:t>.5 ¿Es apropiado el mantenimiento con rituximab en casos de consolidación tardía post-trasplante, frecuente en contexto latinoamericano?</w:t>
      </w:r>
    </w:p>
    <w:p w14:paraId="68D081A7" w14:textId="77777777" w:rsidR="008C16F2" w:rsidRPr="00172E82" w:rsidRDefault="008C16F2" w:rsidP="00D3731D">
      <w:pPr>
        <w:spacing w:after="140"/>
        <w:jc w:val="both"/>
        <w:rPr>
          <w:i/>
          <w:iCs/>
        </w:rPr>
      </w:pPr>
      <w:r>
        <w:rPr>
          <w:i/>
          <w:iCs/>
        </w:rPr>
        <w:t>SÍ, EL MANTENIMIENTO CON RITUXIMAB PERMANECE ÚTIL Y APROPIADO INCLUSO EN CASOS DE CONSOLIDACIÓN TARDÍA, SIEMPRE QUE EL PACIENTE ESTÉ AÚN EN REMISIÓN CLÍNICA, NO HAYA RECAÍDO Y NO SE HAYA VUELTO REFRACTARIO A RITUXIMAB. SI EL INICIO TEMPRANO NO ES FACTIBLE, COMENZAR MANTENIMIENTO TAN PRONTO COMO SEA POSIBLE DENTRO DE LOS PRIMEROS MESES POST-TPH. EVITAR INICIO MUY TARDÍO EN AUSENCIA DE DATOS.</w:t>
      </w:r>
      <w:r>
        <w:rPr>
          <w:i/>
          <w:iCs/>
          <w:vertAlign w:val="superscript"/>
        </w:rPr>
        <w:t>1</w:t>
      </w:r>
    </w:p>
    <w:p w14:paraId="220ADAA8" w14:textId="62E29079" w:rsidR="008C16F2" w:rsidRDefault="008C16F2" w:rsidP="00D3731D">
      <w:pPr>
        <w:spacing w:after="140"/>
        <w:jc w:val="both"/>
      </w:pPr>
      <w:r>
        <w:rPr>
          <w:b/>
          <w:bCs/>
          <w:sz w:val="20"/>
          <w:szCs w:val="20"/>
        </w:rPr>
        <w:t xml:space="preserve">Justificación: </w:t>
      </w:r>
      <w:r>
        <w:rPr>
          <w:sz w:val="20"/>
          <w:szCs w:val="20"/>
        </w:rPr>
        <w:t>LyMa</w:t>
      </w:r>
      <w:r>
        <w:rPr>
          <w:sz w:val="16"/>
          <w:szCs w:val="16"/>
          <w:vertAlign w:val="superscript"/>
        </w:rPr>
        <w:t>1</w:t>
      </w:r>
      <w:r>
        <w:rPr>
          <w:sz w:val="20"/>
          <w:szCs w:val="20"/>
        </w:rPr>
        <w:t xml:space="preserve"> inició el mantenimiento temprano (aproximadamente día +90); en América Latina, los retrasos logísticos son comunes; no existen datos aleatorizados para inicios muy tardíos; iniciar el mantenimiento tan pronto como sea factible dentro de los primeros meses post-TPH es razonable si el paciente permanece en remisión y la sensibilidad a rituximab está preservada.</w:t>
      </w:r>
      <w:r>
        <w:rPr>
          <w:sz w:val="16"/>
          <w:szCs w:val="16"/>
          <w:vertAlign w:val="superscript"/>
        </w:rPr>
        <w:t>1</w:t>
      </w:r>
      <w:r>
        <w:rPr>
          <w:sz w:val="20"/>
          <w:szCs w:val="20"/>
        </w:rPr>
        <w:t xml:space="preserve"> El inicio tardío es preferible a la omisión completa en pacientes elegibles; esta adaptación pragmática de la evidencia a la realidad latinoamericana es necesaria.</w:t>
      </w:r>
    </w:p>
    <w:p w14:paraId="15732398" w14:textId="28CD5A09" w:rsidR="008C16F2" w:rsidRDefault="008C16F2" w:rsidP="00D3731D">
      <w:pPr>
        <w:spacing w:after="200"/>
        <w:jc w:val="both"/>
      </w:pPr>
      <w:r>
        <w:rPr>
          <w:b/>
          <w:bCs/>
          <w:sz w:val="20"/>
          <w:szCs w:val="20"/>
        </w:rPr>
        <w:t xml:space="preserve">Declaración (2C):  </w:t>
      </w:r>
      <w:r>
        <w:rPr>
          <w:sz w:val="20"/>
          <w:szCs w:val="20"/>
        </w:rPr>
        <w:t>Si el inicio temprano no es factible, comenzar mantenimiento con rituximab tan pronto como sea practicable dentro de los primeros meses post-TPH en pacientes que permanecen en remisión y son sensibles a rituximab; evitar inicio muy tardío en ausencia de datos; esto balancea la evidencia con el acceso de mundo real en América Latina donde los retrasos logísticos son comunes.</w:t>
      </w:r>
      <w:r>
        <w:rPr>
          <w:sz w:val="16"/>
          <w:szCs w:val="16"/>
          <w:vertAlign w:val="superscript"/>
        </w:rPr>
        <w:t>1</w:t>
      </w:r>
    </w:p>
    <w:p w14:paraId="7D293969" w14:textId="77777777" w:rsidR="008C16F2" w:rsidRPr="000C6123" w:rsidRDefault="008C16F2" w:rsidP="00D3731D">
      <w:pPr>
        <w:spacing w:before="260" w:after="120"/>
        <w:jc w:val="both"/>
        <w:rPr>
          <w:sz w:val="32"/>
          <w:szCs w:val="32"/>
        </w:rPr>
      </w:pPr>
      <w:r>
        <w:rPr>
          <w:b/>
          <w:bCs/>
          <w:sz w:val="24"/>
          <w:szCs w:val="24"/>
        </w:rPr>
        <w:t>6.6 ¿Existe evidencia suficiente para recomendar inhibidores de BTK como mantenimiento post-auto-TPH fuera de ensayos clínicos?</w:t>
      </w:r>
    </w:p>
    <w:p w14:paraId="318C5E04" w14:textId="77777777" w:rsidR="008C16F2" w:rsidRPr="00172E82" w:rsidRDefault="008C16F2" w:rsidP="00D3731D">
      <w:pPr>
        <w:spacing w:after="140"/>
        <w:jc w:val="both"/>
        <w:rPr>
          <w:i/>
          <w:iCs/>
        </w:rPr>
      </w:pPr>
      <w:r>
        <w:rPr>
          <w:i/>
          <w:iCs/>
        </w:rPr>
        <w:t>NO, NO SE RECOMIENDA EL USO RUTINARIO DE INHIBIDORES DE BTK COMO MANTENIMIENTO AISLADO POST-AUTO-TPH FUERA DE ENSAYOS CLÍNICOS. EL PRINCIPIO FUNDAMENTAL ES QUE EL USO DE BTKi EN MANTENIMIENTO SOLO ESTÁ JUSTIFICADO CUANDO EL BTKi FUE UTILIZADO DESDE LA INDUCCIÓN. EN PACIENTES TRATADOS CON QUIMIOINMUNOTERAPIA ESTÁNDAR SIN BTKi SEGUIDA DE AUTO-TPH, EL MANTENIMIENTO PERMANECE BASADO EXCLUSIVAMENTE EN RITUXIMAB POR 3 AÑOS.</w:t>
      </w:r>
      <w:r>
        <w:rPr>
          <w:i/>
          <w:iCs/>
          <w:vertAlign w:val="superscript"/>
        </w:rPr>
        <w:t>1</w:t>
      </w:r>
      <w:r>
        <w:rPr>
          <w:i/>
          <w:iCs/>
        </w:rPr>
        <w:t xml:space="preserve"> EN PACIENTES QUE RECIBIERON BTKi DESDE LA INDUCCIÓN, EL MANTENIMIENTO DEBE SER COMBINADO: BTKi POR 2 AÑOS MÁS RITUXIMAB HASTA 3 AÑOS.</w:t>
      </w:r>
      <w:r>
        <w:rPr>
          <w:i/>
          <w:iCs/>
          <w:vertAlign w:val="superscript"/>
        </w:rPr>
        <w:t>2,3</w:t>
      </w:r>
      <w:r>
        <w:rPr>
          <w:i/>
          <w:iCs/>
        </w:rPr>
        <w:t xml:space="preserve"> EN ADULTOS MAYORES NO CANDIDATOS A TRASPLANTE CON BTKi EN INDUCCIÓN, EL MANTENIMIENTO MIXTO RITUXIMAB MÁS BTKi ESTÁ RESPALDADO POR EVIDENCIA FASE III.</w:t>
      </w:r>
      <w:r>
        <w:rPr>
          <w:i/>
          <w:iCs/>
          <w:vertAlign w:val="superscript"/>
        </w:rPr>
        <w:t>4,5,6</w:t>
      </w:r>
      <w:r>
        <w:rPr>
          <w:i/>
          <w:iCs/>
        </w:rPr>
        <w:t xml:space="preserve"> AGREGAR BTKi DE NOVO POST-AUTO-TPH SIN HABERLO USADO EN INDUCCIÓN CARECE DE EVIDENCIA ALEATORIZADA Y NO SE RECOMIENDA.</w:t>
      </w:r>
      <w:r>
        <w:rPr>
          <w:i/>
          <w:iCs/>
          <w:vertAlign w:val="superscript"/>
        </w:rPr>
        <w:t>15,16</w:t>
      </w:r>
    </w:p>
    <w:p w14:paraId="70FF9671" w14:textId="0D71E2BC" w:rsidR="008C16F2" w:rsidRDefault="008C16F2" w:rsidP="00D3731D">
      <w:pPr>
        <w:spacing w:after="140"/>
        <w:jc w:val="both"/>
      </w:pPr>
      <w:r>
        <w:rPr>
          <w:b/>
          <w:bCs/>
          <w:sz w:val="20"/>
          <w:szCs w:val="20"/>
        </w:rPr>
        <w:lastRenderedPageBreak/>
        <w:t xml:space="preserve">Justificación: </w:t>
      </w:r>
      <w:r>
        <w:rPr>
          <w:sz w:val="20"/>
          <w:szCs w:val="20"/>
        </w:rPr>
        <w:t>Se distinguen tres escenarios clínicos con evidencia diferente. En pacientes jóvenes (≤65 años) tratados con quimioinmunoterapia estándar sin BTKi seguida de auto-TPH, el mantenimiento estándar es rituximab cada 2 meses por 3 años, que demostró superioridad sobre observación con SLP a 4 años de 79% versus 61% (HR 0.46, IC95% 0.32–0.65, p&lt;0.0001) y beneficio en SG.</w:t>
      </w:r>
      <w:r>
        <w:rPr>
          <w:sz w:val="16"/>
          <w:szCs w:val="16"/>
          <w:vertAlign w:val="superscript"/>
        </w:rPr>
        <w:t>1</w:t>
      </w:r>
      <w:r>
        <w:rPr>
          <w:sz w:val="20"/>
          <w:szCs w:val="20"/>
        </w:rPr>
        <w:t xml:space="preserve"> Agregar BTKi de forma aislada post-trasplante sin haberlo utilizado en la inducción no tiene respaldo aleatorizado y no se recomienda.</w:t>
      </w:r>
      <w:r>
        <w:rPr>
          <w:sz w:val="16"/>
          <w:szCs w:val="16"/>
          <w:vertAlign w:val="superscript"/>
        </w:rPr>
        <w:t>15</w:t>
      </w:r>
      <w:r>
        <w:rPr>
          <w:sz w:val="20"/>
          <w:szCs w:val="20"/>
        </w:rPr>
        <w:t xml:space="preserve"> En pacientes jóvenes con BTKi desde la inducción, el estudio TRIANGLE</w:t>
      </w:r>
      <w:r>
        <w:rPr>
          <w:sz w:val="16"/>
          <w:szCs w:val="16"/>
          <w:vertAlign w:val="superscript"/>
        </w:rPr>
        <w:t>2</w:t>
      </w:r>
      <w:r>
        <w:rPr>
          <w:sz w:val="20"/>
          <w:szCs w:val="20"/>
        </w:rPr>
        <w:t xml:space="preserve"> estableció que el mantenimiento con ibrutinib es parte inseparable del continuum terapéutico; el brazo con quimio + ibrutinib → TPH → mantenimiento ibrutinib 2 años + rituximab 3 años fue superior al brazo estándar con SLF a 3 años de 88% versus 72% (HR 0.52, p=0.0008), y el brazo sin TPH con ibrutinib desde inducción → mantenimiento ibrutinib 2 años + rituximab 3 años demostró SLF de 77% versus 68% y SG superior de 88% versus 78% a 54 meses (HR 0.522, IC95% 0.314–0.868).</w:t>
      </w:r>
      <w:r>
        <w:rPr>
          <w:sz w:val="16"/>
          <w:szCs w:val="16"/>
          <w:vertAlign w:val="superscript"/>
        </w:rPr>
        <w:t>2</w:t>
      </w:r>
      <w:r>
        <w:rPr>
          <w:sz w:val="20"/>
          <w:szCs w:val="20"/>
        </w:rPr>
        <w:t xml:space="preserve"> Un análisis embebido confirmó el beneficio adicional del rituximab combinado con ibrutinib en el mantenimiento de ambos brazos experimentales.</w:t>
      </w:r>
      <w:r>
        <w:rPr>
          <w:sz w:val="16"/>
          <w:szCs w:val="16"/>
          <w:vertAlign w:val="superscript"/>
        </w:rPr>
        <w:t>3</w:t>
      </w:r>
      <w:r>
        <w:rPr>
          <w:sz w:val="20"/>
          <w:szCs w:val="20"/>
        </w:rPr>
        <w:t xml:space="preserve"> En adultos mayores (≥65 años) no candidatos a trasplante, tres estudios fase III demuestran consistentemente el beneficio del mantenimiento mixto cuando el BTKi se usó desde la inducción: SHINE (BR + ibrutinib → rituximab mantenimiento + ibrutinib indefinido) con SLP mediana de 80.6 versus 52.9 meses (HR 0.75, p=0.011) sin diferencia en SG;</w:t>
      </w:r>
      <w:r>
        <w:rPr>
          <w:sz w:val="16"/>
          <w:szCs w:val="16"/>
          <w:vertAlign w:val="superscript"/>
        </w:rPr>
        <w:t>4</w:t>
      </w:r>
      <w:r>
        <w:rPr>
          <w:sz w:val="20"/>
          <w:szCs w:val="20"/>
        </w:rPr>
        <w:t xml:space="preserve"> ECHO (BR + acalabrutinib → rituximab mantenimiento + acalabrutinib continuo) con SLP mediana de 66.4 versus 49.6 meses (HR 0.73, p=0.016) sin diferencia en SG;</w:t>
      </w:r>
      <w:r>
        <w:rPr>
          <w:sz w:val="16"/>
          <w:szCs w:val="16"/>
          <w:vertAlign w:val="superscript"/>
        </w:rPr>
        <w:t>5</w:t>
      </w:r>
      <w:r>
        <w:rPr>
          <w:sz w:val="20"/>
          <w:szCs w:val="20"/>
        </w:rPr>
        <w:t xml:space="preserve"> y ENRICH (ibrutinib + rituximab sin quimio → rituximab mantenimiento + ibrutinib continuo) con SLP mediana de 65.3 versus 42.4 meses (HR 0.69, p=0.0034) sin diferencia en SG.</w:t>
      </w:r>
      <w:r>
        <w:rPr>
          <w:sz w:val="16"/>
          <w:szCs w:val="16"/>
          <w:vertAlign w:val="superscript"/>
        </w:rPr>
        <w:t>6</w:t>
      </w:r>
      <w:r>
        <w:rPr>
          <w:sz w:val="20"/>
          <w:szCs w:val="20"/>
        </w:rPr>
        <w:t xml:space="preserve"> En ninguno de estos estudios se evaluó la adición de BTKi de novo en mantenimiento tras inducción sin BTKi. Los costos significativamente mayores de los BTKi respecto a rituximab y las limitaciones de acceso en América Latina refuerzan la necesidad de reservar su uso en mantenimiento para los pacientes en quienes formó parte del plan terapéutico desde la inducción.</w:t>
      </w:r>
      <w:r>
        <w:rPr>
          <w:sz w:val="16"/>
          <w:szCs w:val="16"/>
          <w:vertAlign w:val="superscript"/>
        </w:rPr>
        <w:t>15,16</w:t>
      </w:r>
    </w:p>
    <w:p w14:paraId="12F901AA" w14:textId="6513F3B4" w:rsidR="008C16F2" w:rsidRDefault="008C16F2" w:rsidP="000C6123">
      <w:pPr>
        <w:spacing w:after="200"/>
        <w:jc w:val="both"/>
        <w:rPr>
          <w:b/>
          <w:bCs/>
          <w:sz w:val="20"/>
          <w:szCs w:val="20"/>
        </w:rPr>
      </w:pPr>
      <w:r>
        <w:rPr>
          <w:b/>
          <w:bCs/>
          <w:sz w:val="20"/>
          <w:szCs w:val="20"/>
        </w:rPr>
        <w:t xml:space="preserve">Declaración (2D): </w:t>
      </w:r>
      <w:r>
        <w:rPr>
          <w:sz w:val="20"/>
          <w:szCs w:val="20"/>
        </w:rPr>
        <w:t>No agregar BTKi como mantenimiento aislado post-auto-TPH en pacientes que no recibieron BTKi durante la inducción; el mantenimiento en ese escenario es rituximab por 3 años.</w:t>
      </w:r>
      <w:r>
        <w:rPr>
          <w:sz w:val="16"/>
          <w:szCs w:val="16"/>
          <w:vertAlign w:val="superscript"/>
        </w:rPr>
        <w:t>1</w:t>
      </w:r>
      <w:r>
        <w:rPr>
          <w:sz w:val="20"/>
          <w:szCs w:val="20"/>
        </w:rPr>
        <w:t xml:space="preserve"> En pacientes jóvenes que recibieron BTKi en inducción, el mantenimiento debe ser combinado: BTKi por 2 años más rituximab hasta 3 años.</w:t>
      </w:r>
      <w:r>
        <w:rPr>
          <w:sz w:val="16"/>
          <w:szCs w:val="16"/>
          <w:vertAlign w:val="superscript"/>
        </w:rPr>
        <w:t>2</w:t>
      </w:r>
      <w:r>
        <w:rPr>
          <w:sz w:val="20"/>
          <w:szCs w:val="20"/>
        </w:rPr>
        <w:t xml:space="preserve"> En adultos mayores no candidatos a trasplante con BTKi en inducción, el mantenimiento mixto rituximab más BTKi está respaldado por evidencia fase III.</w:t>
      </w:r>
      <w:r>
        <w:rPr>
          <w:sz w:val="16"/>
          <w:szCs w:val="16"/>
          <w:vertAlign w:val="superscript"/>
        </w:rPr>
        <w:t>4,5,6</w:t>
      </w:r>
      <w:r>
        <w:rPr>
          <w:sz w:val="20"/>
          <w:szCs w:val="20"/>
        </w:rPr>
        <w:t xml:space="preserve"> La decisión debe individualizarse considerando accesibilidad, toxicidad y costos en la región.</w:t>
      </w:r>
    </w:p>
    <w:p w14:paraId="3A318FEB" w14:textId="3BAA6532" w:rsidR="008C16F2" w:rsidRPr="000C6123" w:rsidRDefault="008C16F2" w:rsidP="00D3731D">
      <w:pPr>
        <w:spacing w:before="260" w:after="120"/>
        <w:jc w:val="both"/>
        <w:rPr>
          <w:sz w:val="32"/>
          <w:szCs w:val="32"/>
        </w:rPr>
      </w:pPr>
      <w:r>
        <w:rPr>
          <w:b/>
          <w:bCs/>
          <w:sz w:val="24"/>
          <w:szCs w:val="24"/>
        </w:rPr>
        <w:t>6.7 ¿Cuál es la duración óptima del mantenimiento con rituximab post-auto-TPH?</w:t>
      </w:r>
    </w:p>
    <w:p w14:paraId="1A6AEA5D" w14:textId="77777777" w:rsidR="008C16F2" w:rsidRPr="00172E82" w:rsidRDefault="008C16F2" w:rsidP="00D3731D">
      <w:pPr>
        <w:spacing w:after="140"/>
        <w:jc w:val="both"/>
        <w:rPr>
          <w:i/>
          <w:iCs/>
        </w:rPr>
      </w:pPr>
      <w:r>
        <w:rPr>
          <w:i/>
          <w:iCs/>
        </w:rPr>
        <w:t>LA DURACIÓN ÓPTIMA ES 3 AÑOS CON RITUXIMAB 375 mg/m² CADA 2 MESES (CADA 8 SEMANAS).</w:t>
      </w:r>
      <w:r>
        <w:rPr>
          <w:i/>
          <w:iCs/>
          <w:vertAlign w:val="superscript"/>
        </w:rPr>
        <w:t>1</w:t>
      </w:r>
      <w:r>
        <w:rPr>
          <w:i/>
          <w:iCs/>
        </w:rPr>
        <w:t xml:space="preserve"> ESTE RÉGIMEN Y DURACIÓN ANCLAN LA MAYORÍA DE LAS GUÍAS DE PRÁCTICA CLÍNICA.</w:t>
      </w:r>
      <w:r>
        <w:rPr>
          <w:i/>
          <w:iCs/>
          <w:vertAlign w:val="superscript"/>
        </w:rPr>
        <w:t>15,16</w:t>
      </w:r>
      <w:r>
        <w:rPr>
          <w:i/>
          <w:iCs/>
        </w:rPr>
        <w:t xml:space="preserve"> LA EVIDENCIA PARA CURSOS MÁS CORTOS NO ES DEFINITIVA. ESTUDIOS RETROSPECTIVOS SUGIEREN QUE MANTENIMIENTO CADA 3 MESES PUEDE SER SIMILAR EN EFICACIA CON MENOR TOXICIDAD (DATO A CONSIDERAR PERO NO ESTABLECIDO COMO ESTÁNDAR).</w:t>
      </w:r>
    </w:p>
    <w:p w14:paraId="12ADA9E9" w14:textId="49791D14" w:rsidR="008C16F2" w:rsidRDefault="008C16F2" w:rsidP="00D3731D">
      <w:pPr>
        <w:spacing w:after="140"/>
        <w:jc w:val="both"/>
      </w:pPr>
      <w:r>
        <w:rPr>
          <w:b/>
          <w:bCs/>
          <w:sz w:val="20"/>
          <w:szCs w:val="20"/>
        </w:rPr>
        <w:t xml:space="preserve">Justificación: </w:t>
      </w:r>
      <w:r>
        <w:rPr>
          <w:sz w:val="20"/>
          <w:szCs w:val="20"/>
        </w:rPr>
        <w:t>El régimen y duración del estudio LyMa</w:t>
      </w:r>
      <w:r>
        <w:rPr>
          <w:sz w:val="16"/>
          <w:szCs w:val="16"/>
          <w:vertAlign w:val="superscript"/>
        </w:rPr>
        <w:t>1</w:t>
      </w:r>
      <w:r>
        <w:rPr>
          <w:sz w:val="20"/>
          <w:szCs w:val="20"/>
        </w:rPr>
        <w:t xml:space="preserve"> (cada 8 semanas × 3 años) generó beneficios en SG y SLP; este régimen ha sido reproducido en ensayos pivotales incluyendo TRIANGLE,</w:t>
      </w:r>
      <w:r>
        <w:rPr>
          <w:sz w:val="16"/>
          <w:szCs w:val="16"/>
          <w:vertAlign w:val="superscript"/>
        </w:rPr>
        <w:t>2</w:t>
      </w:r>
      <w:r>
        <w:rPr>
          <w:sz w:val="20"/>
          <w:szCs w:val="20"/>
        </w:rPr>
        <w:t xml:space="preserve"> SHINE</w:t>
      </w:r>
      <w:r>
        <w:rPr>
          <w:sz w:val="16"/>
          <w:szCs w:val="16"/>
          <w:vertAlign w:val="superscript"/>
        </w:rPr>
        <w:t>4</w:t>
      </w:r>
      <w:r>
        <w:rPr>
          <w:sz w:val="20"/>
          <w:szCs w:val="20"/>
        </w:rPr>
        <w:t xml:space="preserve"> y ECHO.</w:t>
      </w:r>
      <w:r>
        <w:rPr>
          <w:sz w:val="16"/>
          <w:szCs w:val="16"/>
          <w:vertAlign w:val="superscript"/>
        </w:rPr>
        <w:t>5</w:t>
      </w:r>
      <w:r>
        <w:rPr>
          <w:sz w:val="20"/>
          <w:szCs w:val="20"/>
        </w:rPr>
        <w:t xml:space="preserve"> El seguimiento a largo plazo confirma la durabilidad del beneficio a 7 años.</w:t>
      </w:r>
      <w:r>
        <w:rPr>
          <w:sz w:val="16"/>
          <w:szCs w:val="16"/>
          <w:vertAlign w:val="superscript"/>
        </w:rPr>
        <w:t>1</w:t>
      </w:r>
      <w:r>
        <w:rPr>
          <w:sz w:val="20"/>
          <w:szCs w:val="20"/>
        </w:rPr>
        <w:t xml:space="preserve"> Estudios retrospectivos sugieren que el mantenimiento cada 3 meses en LCM es similar en eficacia con menor toxicidad (Rashidi et al., Blood 2015), aunque requieren validación prospectiva antes de su adopción general.</w:t>
      </w:r>
    </w:p>
    <w:p w14:paraId="2B5C04FF" w14:textId="465D5631" w:rsidR="008C16F2" w:rsidRDefault="008C16F2" w:rsidP="00D3731D">
      <w:pPr>
        <w:spacing w:after="200"/>
        <w:jc w:val="both"/>
      </w:pPr>
      <w:r>
        <w:rPr>
          <w:b/>
          <w:bCs/>
          <w:sz w:val="20"/>
          <w:szCs w:val="20"/>
        </w:rPr>
        <w:t xml:space="preserve">Declaración (1B): </w:t>
      </w:r>
      <w:r>
        <w:rPr>
          <w:sz w:val="20"/>
          <w:szCs w:val="20"/>
        </w:rPr>
        <w:t>Recomendar rituximab 375 mg/m² cada 2 meses por 3 años después de auto-TPH como el régimen con evidencia más fuerte;</w:t>
      </w:r>
      <w:r>
        <w:rPr>
          <w:sz w:val="16"/>
          <w:szCs w:val="16"/>
          <w:vertAlign w:val="superscript"/>
        </w:rPr>
        <w:t>1</w:t>
      </w:r>
      <w:r>
        <w:rPr>
          <w:sz w:val="20"/>
          <w:szCs w:val="20"/>
        </w:rPr>
        <w:t xml:space="preserve"> reconocer que datos retrospectivos sugieren que la dosificación cada 3 meses puede ser similarmente efectiva con menor toxicidad, aunque se necesita validación prospectiva antes de cambiar la práctica estándar.</w:t>
      </w:r>
    </w:p>
    <w:p w14:paraId="04386AB4" w14:textId="77777777" w:rsidR="008C16F2" w:rsidRPr="008C16F2" w:rsidRDefault="008C16F2" w:rsidP="00D3731D">
      <w:pPr>
        <w:spacing w:before="260" w:after="120"/>
        <w:jc w:val="both"/>
        <w:rPr>
          <w:sz w:val="28"/>
          <w:szCs w:val="28"/>
        </w:rPr>
      </w:pPr>
      <w:r>
        <w:rPr>
          <w:b/>
          <w:bCs/>
          <w:sz w:val="24"/>
          <w:szCs w:val="24"/>
        </w:rPr>
        <w:lastRenderedPageBreak/>
        <w:t>6.8 ¿En qué circunstancias debe considerarse la discontinuación temprana del mantenimiento con rituximab</w:t>
      </w:r>
      <w:r>
        <w:rPr>
          <w:b/>
          <w:bCs/>
        </w:rPr>
        <w:t>?</w:t>
      </w:r>
    </w:p>
    <w:p w14:paraId="03623A7C" w14:textId="77777777" w:rsidR="008C16F2" w:rsidRPr="00172E82" w:rsidRDefault="008C16F2" w:rsidP="00D3731D">
      <w:pPr>
        <w:spacing w:after="140"/>
        <w:jc w:val="both"/>
        <w:rPr>
          <w:i/>
          <w:iCs/>
        </w:rPr>
      </w:pPr>
      <w:r>
        <w:rPr>
          <w:i/>
          <w:iCs/>
        </w:rPr>
        <w:t>DISCONTINUAR MANTENIMIENTO TEMPRANAMENTE EN PRESENCIA DE: TOXICIDAD SIGNIFICATIVA (GRADO ≥3), PROGRESIÓN DOCUMENTADA DE ENFERMEDAD, INFECCIONES SEVERAS O RECURRENTES, HIPOGAMMAGLOBULINEMIA SEVERA/PERSISTENTE A PESAR DE IVIG, O TOXICIDAD INACEPTABLE.</w:t>
      </w:r>
      <w:r>
        <w:rPr>
          <w:i/>
          <w:iCs/>
          <w:vertAlign w:val="superscript"/>
        </w:rPr>
        <w:t>1,23</w:t>
      </w:r>
      <w:r>
        <w:rPr>
          <w:i/>
          <w:iCs/>
        </w:rPr>
        <w:t xml:space="preserve"> DURACIÓN ESTÁNDAR: 3 AÑOS POST-TRASPLANTE O 2 AÑOS POST-PRIMERA LÍNEA, O HASTA TOXICIDAD INACEPTABLE.</w:t>
      </w:r>
      <w:r>
        <w:rPr>
          <w:i/>
          <w:iCs/>
          <w:vertAlign w:val="superscript"/>
        </w:rPr>
        <w:t>1</w:t>
      </w:r>
      <w:r>
        <w:rPr>
          <w:i/>
          <w:iCs/>
        </w:rPr>
        <w:t xml:space="preserve"> LA CAUSA MÁS FRECUENTE DE DISCONTINUACIÓN EN LyMa (DESPUÉS DE PROGRESIÓN) FUE NEUTROPENIA.</w:t>
      </w:r>
      <w:r>
        <w:rPr>
          <w:i/>
          <w:iCs/>
          <w:vertAlign w:val="superscript"/>
        </w:rPr>
        <w:t>1</w:t>
      </w:r>
    </w:p>
    <w:p w14:paraId="6A6A5846" w14:textId="05C06C0C" w:rsidR="008C16F2" w:rsidRDefault="008C16F2" w:rsidP="00D3731D">
      <w:pPr>
        <w:spacing w:after="140"/>
        <w:jc w:val="both"/>
      </w:pPr>
      <w:r>
        <w:rPr>
          <w:b/>
          <w:bCs/>
          <w:sz w:val="20"/>
          <w:szCs w:val="20"/>
        </w:rPr>
        <w:t xml:space="preserve">Justificación: </w:t>
      </w:r>
      <w:r>
        <w:rPr>
          <w:sz w:val="20"/>
          <w:szCs w:val="20"/>
        </w:rPr>
        <w:t>La terapia de mantenimiento anti-CD20 aumenta el riesgo de hipogammaglobulinemia e infecciones; la discontinuación por infecciones recurrentes/severas, intolerancia o progresión fue práctica estándar permitida en los ensayos clínicos.</w:t>
      </w:r>
      <w:r>
        <w:rPr>
          <w:sz w:val="16"/>
          <w:szCs w:val="16"/>
          <w:vertAlign w:val="superscript"/>
        </w:rPr>
        <w:t>1</w:t>
      </w:r>
      <w:r>
        <w:rPr>
          <w:sz w:val="20"/>
          <w:szCs w:val="20"/>
        </w:rPr>
        <w:t xml:space="preserve"> Las guías de consenso ASBMT, CIBMTR y EBMT</w:t>
      </w:r>
      <w:r>
        <w:rPr>
          <w:sz w:val="16"/>
          <w:szCs w:val="16"/>
          <w:vertAlign w:val="superscript"/>
        </w:rPr>
        <w:t>23</w:t>
      </w:r>
      <w:r>
        <w:rPr>
          <w:sz w:val="20"/>
          <w:szCs w:val="20"/>
        </w:rPr>
        <w:t xml:space="preserve"> apoyan la discontinuación por toxicidad; un alto porcentaje de pacientes muere por infecciones en lugar de por LCM. El balance riesgo-beneficio debe evaluarse continuamente; la decisión se individualiza según tolerancia y situación clínica.</w:t>
      </w:r>
    </w:p>
    <w:p w14:paraId="70A85E6C" w14:textId="153CA207" w:rsidR="00EA2FA6" w:rsidRDefault="008C16F2" w:rsidP="000433E2">
      <w:pPr>
        <w:spacing w:after="200"/>
        <w:jc w:val="both"/>
        <w:rPr>
          <w:b/>
          <w:bCs/>
          <w:sz w:val="20"/>
          <w:szCs w:val="20"/>
        </w:rPr>
      </w:pPr>
      <w:r>
        <w:rPr>
          <w:b/>
          <w:bCs/>
          <w:sz w:val="20"/>
          <w:szCs w:val="20"/>
        </w:rPr>
        <w:t xml:space="preserve">Declaración (2C):  </w:t>
      </w:r>
      <w:r>
        <w:rPr>
          <w:sz w:val="20"/>
          <w:szCs w:val="20"/>
        </w:rPr>
        <w:t>Discontinuar mantenimiento tempranamente por infecciones grado ≥3, hipogammaglobulinemia severa/persistente a pesar de IVIG, toxicidad inaceptable, o progresión de enfermedad;</w:t>
      </w:r>
      <w:r>
        <w:rPr>
          <w:sz w:val="16"/>
          <w:szCs w:val="16"/>
          <w:vertAlign w:val="superscript"/>
        </w:rPr>
        <w:t>1,23</w:t>
      </w:r>
      <w:r>
        <w:rPr>
          <w:sz w:val="20"/>
          <w:szCs w:val="20"/>
        </w:rPr>
        <w:t xml:space="preserve"> hay que reconocer que un alto porcentaje de pacientes muere por infecciones en lugar de enfermedad, haciendo de las complicaciones infecciosas una consideración crítica en la terapia de mantenimiento; individualizar la duración según tolerancia y situación clínica.</w:t>
      </w:r>
    </w:p>
    <w:p w14:paraId="23E4255E" w14:textId="753E434A" w:rsidR="008C16F2" w:rsidRPr="000C6123" w:rsidRDefault="008C16F2" w:rsidP="00D3731D">
      <w:pPr>
        <w:spacing w:before="260" w:after="120"/>
        <w:jc w:val="both"/>
        <w:rPr>
          <w:sz w:val="32"/>
          <w:szCs w:val="32"/>
        </w:rPr>
      </w:pPr>
      <w:r>
        <w:rPr>
          <w:b/>
          <w:bCs/>
          <w:sz w:val="24"/>
          <w:szCs w:val="24"/>
        </w:rPr>
        <w:t>6.9 ¿El beneficio del mantenimiento con rituximab varía según score MIPI, edad o sexo?</w:t>
      </w:r>
    </w:p>
    <w:p w14:paraId="027A4A23" w14:textId="77777777" w:rsidR="008C16F2" w:rsidRPr="00172E82" w:rsidRDefault="008C16F2" w:rsidP="00D3731D">
      <w:pPr>
        <w:spacing w:after="140"/>
        <w:jc w:val="both"/>
        <w:rPr>
          <w:i/>
          <w:iCs/>
        </w:rPr>
      </w:pPr>
      <w:r>
        <w:rPr>
          <w:i/>
          <w:iCs/>
        </w:rPr>
        <w:t>NO, EL BENEFICIO DEL MANTENIMIENTO CON RITUXIMAB ES INDEPENDIENTE DEL SCORE MIPI, EDAD O SEXO. NO RESTRINGIR MANTENIMIENTO BASADO EN MIPI, EDAD O SEXO ÚNICAMENTE.</w:t>
      </w:r>
      <w:r>
        <w:rPr>
          <w:i/>
          <w:iCs/>
          <w:vertAlign w:val="superscript"/>
        </w:rPr>
        <w:t>1,15</w:t>
      </w:r>
    </w:p>
    <w:p w14:paraId="287AE307" w14:textId="3A883F7F" w:rsidR="008C16F2" w:rsidRDefault="008C16F2" w:rsidP="00D3731D">
      <w:pPr>
        <w:spacing w:after="140"/>
        <w:jc w:val="both"/>
      </w:pPr>
      <w:r>
        <w:rPr>
          <w:b/>
          <w:bCs/>
        </w:rPr>
        <w:t>Justificación</w:t>
      </w:r>
      <w:r>
        <w:rPr>
          <w:b/>
          <w:bCs/>
          <w:sz w:val="20"/>
          <w:szCs w:val="20"/>
        </w:rPr>
        <w:t xml:space="preserve">: </w:t>
      </w:r>
      <w:r>
        <w:rPr>
          <w:sz w:val="20"/>
          <w:szCs w:val="20"/>
        </w:rPr>
        <w:t>Los análisis de subgrupos de estudios aleatorizados muestran beneficio ampliamente consistente a través de estratos pronósticos;</w:t>
      </w:r>
      <w:r>
        <w:rPr>
          <w:sz w:val="16"/>
          <w:szCs w:val="16"/>
          <w:vertAlign w:val="superscript"/>
        </w:rPr>
        <w:t>1,2,4,5</w:t>
      </w:r>
      <w:r>
        <w:rPr>
          <w:sz w:val="20"/>
          <w:szCs w:val="20"/>
        </w:rPr>
        <w:t xml:space="preserve"> en programas para adultos mayores, el mantenimiento con rituximab post-inducción mejoró los resultados independientemente del riesgo basal.</w:t>
      </w:r>
      <w:r>
        <w:rPr>
          <w:sz w:val="16"/>
          <w:szCs w:val="16"/>
          <w:vertAlign w:val="superscript"/>
        </w:rPr>
        <w:t>4,5,6</w:t>
      </w:r>
      <w:r>
        <w:rPr>
          <w:sz w:val="20"/>
          <w:szCs w:val="20"/>
        </w:rPr>
        <w:t xml:space="preserve"> El beneficio del mantenimiento se observa a través de diferentes grupos de riesgo y no debe restringirse por estos factores demográficos o pronósticos únicamente.</w:t>
      </w:r>
    </w:p>
    <w:p w14:paraId="1B00DCE4" w14:textId="77777777" w:rsidR="004069D5" w:rsidRDefault="008C16F2" w:rsidP="000C6123">
      <w:pPr>
        <w:spacing w:before="60" w:after="60" w:line="260" w:lineRule="auto"/>
        <w:ind w:left="360" w:hanging="360"/>
        <w:jc w:val="both"/>
        <w:rPr>
          <w:sz w:val="20"/>
          <w:szCs w:val="20"/>
        </w:rPr>
      </w:pPr>
      <w:r>
        <w:rPr>
          <w:b/>
          <w:bCs/>
        </w:rPr>
        <w:t xml:space="preserve">Declaración (2B): </w:t>
      </w:r>
      <w:r>
        <w:rPr>
          <w:sz w:val="20"/>
          <w:szCs w:val="20"/>
        </w:rPr>
        <w:t>No restringir mantenimiento basado en MIPI, edad o sexo únicamente, ya que los</w:t>
      </w:r>
    </w:p>
    <w:p w14:paraId="7337FAEE" w14:textId="7353FD6B" w:rsidR="004069D5" w:rsidRDefault="008C16F2" w:rsidP="000C6123">
      <w:pPr>
        <w:spacing w:before="60" w:after="60" w:line="260" w:lineRule="auto"/>
        <w:ind w:left="360" w:hanging="360"/>
        <w:jc w:val="both"/>
        <w:rPr>
          <w:sz w:val="20"/>
          <w:szCs w:val="20"/>
        </w:rPr>
      </w:pPr>
      <w:r>
        <w:rPr>
          <w:sz w:val="20"/>
          <w:szCs w:val="20"/>
        </w:rPr>
        <w:t>análisis de subgrupos demuestran beneficio ampliamente consistente a través de estratos</w:t>
      </w:r>
    </w:p>
    <w:p w14:paraId="17E00268" w14:textId="64D0A28A" w:rsidR="00D3731D" w:rsidRDefault="008C16F2" w:rsidP="000C6123">
      <w:pPr>
        <w:spacing w:before="60" w:after="60" w:line="260" w:lineRule="auto"/>
        <w:ind w:left="360" w:hanging="360"/>
        <w:jc w:val="both"/>
        <w:rPr>
          <w:sz w:val="20"/>
          <w:szCs w:val="20"/>
        </w:rPr>
      </w:pPr>
      <w:r>
        <w:rPr>
          <w:sz w:val="20"/>
          <w:szCs w:val="20"/>
        </w:rPr>
        <w:t>pronósticos.1,2,4,5,6</w:t>
      </w:r>
    </w:p>
    <w:p w14:paraId="458F926E" w14:textId="77777777" w:rsidR="000C6123" w:rsidRPr="000C6123" w:rsidRDefault="000C6123" w:rsidP="000C6123">
      <w:pPr>
        <w:spacing w:before="60" w:after="60" w:line="260" w:lineRule="auto"/>
        <w:ind w:left="360" w:hanging="360"/>
        <w:jc w:val="both"/>
        <w:rPr>
          <w:sz w:val="20"/>
          <w:szCs w:val="20"/>
        </w:rPr>
      </w:pPr>
    </w:p>
    <w:p w14:paraId="57352900" w14:textId="77777777" w:rsidR="008C16F2" w:rsidRPr="000C6123" w:rsidRDefault="008C16F2" w:rsidP="000C6123">
      <w:pPr>
        <w:spacing w:before="60" w:after="60" w:line="260" w:lineRule="auto"/>
        <w:ind w:left="360" w:hanging="360"/>
        <w:jc w:val="both"/>
        <w:rPr>
          <w:b/>
          <w:bCs/>
          <w:color w:val="444444"/>
          <w:sz w:val="18"/>
          <w:szCs w:val="18"/>
          <w:lang w:val="es-VE"/>
        </w:rPr>
      </w:pPr>
      <w:r>
        <w:rPr>
          <w:b/>
          <w:bCs/>
          <w:color w:val="444444"/>
          <w:sz w:val="18"/>
          <w:szCs w:val="18"/>
          <w:lang w:val="es-VE"/>
        </w:rPr>
        <w:t>Bibliografía</w:t>
      </w:r>
    </w:p>
    <w:p w14:paraId="2D72D133"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s-VE"/>
        </w:rPr>
        <w:t xml:space="preserve">1. Le Gouill S, Thieblemont C, Oberic L, et al. </w:t>
      </w:r>
      <w:r>
        <w:rPr>
          <w:color w:val="444444"/>
          <w:sz w:val="18"/>
          <w:szCs w:val="18"/>
          <w:lang w:val="en-US"/>
        </w:rPr>
        <w:t>Rituximab after autologous stem-cell transplantation in mantle-cell lymphoma. N Engl J Med. 2017;377(13):1250–1260.</w:t>
      </w:r>
    </w:p>
    <w:p w14:paraId="28D05018"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2. Dreyling M, Doorduijn J, Giné E, et al. Ibrutinib combined with immunochemotherapy with or without autologous stem-cell transplantation versus immunochemotherapy and autologous stem-cell transplantation in previously untreated patients with mantle cell lymphoma (TRIANGLE). Lancet. 2024;403(10441):2293–2306.</w:t>
      </w:r>
    </w:p>
    <w:p w14:paraId="5A9D75E5"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3. Dreyling M, et al. Role of autologous stem cell transplantation in the context of ibrutinib-containing first-line treatment in younger patients with mantle cell lymphoma: results from the randomized TRIANGLE trial. Blood. 2024;144(Suppl 1):240.</w:t>
      </w:r>
    </w:p>
    <w:p w14:paraId="65C0AF7A"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4. Wang ML, Jurczak W, Jerkeman M, et al. Ibrutinib plus bendamustine and rituximab in untreated mantle-cell lymphoma. N Engl J Med. 2022;386(26):2482–2494.</w:t>
      </w:r>
    </w:p>
    <w:p w14:paraId="2C18BAA1"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lastRenderedPageBreak/>
        <w:t>5. Robak T, Jin J, Pylypenko H, et al. Frontline acalabrutinib in combination with bendamustine and rituximab in treatment-naive patients with mantle cell lymphoma (ECHO). Lancet. 2023;402(10413):1767–1779.</w:t>
      </w:r>
    </w:p>
    <w:p w14:paraId="4BBC8E20"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6. Lewis DJ, Jerkeman M, Sorrell L, et al. Ibrutinib and rituximab versus immunochemotherapy in patients with previously untreated mantle cell lymphoma (ENRICH). Lancet. 2025. doi:10.1016/S0140-6736(25)01432-1.</w:t>
      </w:r>
    </w:p>
    <w:p w14:paraId="1BA54116"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7. Dreyling M, et al. ESMO Clinical Practice Guidelines for diagnosis, treatment and follow-up of mantle cell lymphoma. Ann Oncol. 2017.</w:t>
      </w:r>
    </w:p>
    <w:p w14:paraId="2DBEAC34"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8. Böttcher S, et al. Minimal residual disease detection in mantle cell lymphoma: methods and significance of four-color flow cytometry compared to consensus IGH-PCR at initial staging and for follow-up examinations. Haematologica. 2008.</w:t>
      </w:r>
    </w:p>
    <w:p w14:paraId="06E11E1C"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9. Jung D, et al. Advances in the assessment of minimal residual disease in mantle cell lymphoma. J Hematol Oncol. 2020;13(1):127.</w:t>
      </w:r>
    </w:p>
    <w:p w14:paraId="054CDC23"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10. Phillips TJ, et al. Glofitamab in relapsed/refractory mantle cell lymphoma: results from a phase I/II study. J Clin Oncol. 2025;43:318–328.</w:t>
      </w:r>
    </w:p>
    <w:p w14:paraId="70A5D486"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11. Wang ML, et al. Targeting BTK with ibrutinib in relapsed or refractory mantle cell lymphoma. N Engl J Med. 2013;369(6):507–516.</w:t>
      </w:r>
    </w:p>
    <w:p w14:paraId="24D70028"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12. Wang M, et al. Acalabrutinib in relapsed or refractory mantle cell lymphoma (ACE-LY-004): a single-arm, multicentre, phase 2 trial. Lancet. 2018;391(10121):659–667.</w:t>
      </w:r>
    </w:p>
    <w:p w14:paraId="672DD286"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13. Song Y, Zhou K, Zou D, et al. Zanubrutinib in relapsed/refractory mantle cell lymphoma: long-term efficacy and safety results from a phase 2 study. Blood. 2022;139(21):3148–3158.</w:t>
      </w:r>
    </w:p>
    <w:p w14:paraId="63F25045"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14. Eyre TA, et al. Efficacy of venetoclax monotherapy in patients with relapsed, refractory mantle cell lymphoma after Bruton tyrosine kinase inhibitor therapy. Haematologica. 2019;104(2):e68–e71.</w:t>
      </w:r>
    </w:p>
    <w:p w14:paraId="61FE4EFD"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15. Eyre TA, et al. Lymphomas: ESMO Clinical Practice Guideline for diagnosis, treatment and follow-up. Ann Oncol. 2025. doi:10.1016/j.annonc.2025.06.011.</w:t>
      </w:r>
    </w:p>
    <w:p w14:paraId="74293DA3"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16. Zelenetz AD, et al. NCCN Guidelines® B-Cell Lymphomas, Version 3.2025. August 18, 2025.</w:t>
      </w:r>
    </w:p>
    <w:p w14:paraId="6D2E8E79"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17. Silkenstedt E, Dreyling M. Treatment of relapsed/refractory MCL. Blood. 2025;145(7):673–682.</w:t>
      </w:r>
    </w:p>
    <w:p w14:paraId="2E1CA654"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18. Wang M, et al. Ibrutinib plus venetoclax in relapsed or refractory mantle cell lymphoma (SYMPATICO): a multicentre, randomised, double-blind, placebo-controlled, phase 3 study. Lancet Oncol. 2025;26(2):200–213.</w:t>
      </w:r>
    </w:p>
    <w:p w14:paraId="1C25AD6C"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19. Budde E, et al. Mosunetuzumab + polatuzumab vedotin shows robust efficacy in a phase II study of relapsed/refractory post-BTKi mantle cell lymphoma [abstract]. Hematol Oncol. 2025;43(Suppl 3):50.</w:t>
      </w:r>
    </w:p>
    <w:p w14:paraId="6C7AD7F5"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20. Robinson SP, et al. Long-term outcome analysis of reduced-intensity allogeneic stem cell transplantation in patients with mantle cell lymphoma: a retrospective study from the EBMT Lymphoma Working Party. Bone Marrow Transplant. 2018;53(5):617–624.</w:t>
      </w:r>
    </w:p>
    <w:p w14:paraId="3FBBB609"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21. Lin RJ, et al. Allogeneic haematopoietic cell transplantation impacts on outcomes of mantle cell lymphoma with TP53 alterations. Br J Haematol. 2019;184(6):1006–1010.</w:t>
      </w:r>
    </w:p>
    <w:p w14:paraId="1F433DA1"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22. McCulloch R, et al. Efficacy of R-BAC in relapsed, refractory mantle cell lymphoma post BTK inhibitor therapy. Br J Haematol. 2020;189(4):684–688.</w:t>
      </w:r>
    </w:p>
    <w:p w14:paraId="71A01277"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23. Munshi PN, et al. ASTCT, CIBMTR, and EBMT Clinical Practice Recommendations for Transplantation and Cellular Therapies in Mantle Cell Lymphoma. Transplant Cell Ther. 2021;27(9):720–728.</w:t>
      </w:r>
    </w:p>
    <w:p w14:paraId="24F15C4A"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24. Jain P, Wang M. High-risk MCL: recognition and treatment. Blood. 2025;145(7):683–695.</w:t>
      </w:r>
    </w:p>
    <w:p w14:paraId="5A6E3C80" w14:textId="77777777" w:rsidR="008C16F2" w:rsidRPr="000C6123" w:rsidRDefault="008C16F2" w:rsidP="000C6123">
      <w:pPr>
        <w:spacing w:before="60" w:after="60" w:line="260" w:lineRule="auto"/>
        <w:ind w:left="360" w:hanging="360"/>
        <w:jc w:val="both"/>
        <w:rPr>
          <w:color w:val="444444"/>
          <w:sz w:val="18"/>
          <w:szCs w:val="18"/>
          <w:lang w:val="es-VE"/>
        </w:rPr>
      </w:pPr>
      <w:r>
        <w:rPr>
          <w:color w:val="444444"/>
          <w:sz w:val="18"/>
          <w:szCs w:val="18"/>
          <w:lang w:val="en-US"/>
        </w:rPr>
        <w:t xml:space="preserve">25. Jain P, Dreyling M, Seymour JF, Wang M. High-Risk Mantle Cell Lymphoma: Definition, Current Challenges, and Management. </w:t>
      </w:r>
      <w:r>
        <w:rPr>
          <w:color w:val="444444"/>
          <w:sz w:val="18"/>
          <w:szCs w:val="18"/>
          <w:lang w:val="es-VE"/>
        </w:rPr>
        <w:t>J Clin Oncol. 2020;38(36):4302–4316.</w:t>
      </w:r>
    </w:p>
    <w:p w14:paraId="5213EE7D"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s-VE"/>
        </w:rPr>
        <w:t xml:space="preserve">26. Hamadani M, Radford J, Carlo-Stella C, et al. </w:t>
      </w:r>
      <w:r>
        <w:rPr>
          <w:color w:val="444444"/>
          <w:sz w:val="18"/>
          <w:szCs w:val="18"/>
          <w:lang w:val="en-US"/>
        </w:rPr>
        <w:t>Final results of a phase 1 study of loncastuximab tesirine in relapsed/refractory B-cell non-Hodgkin lymphoma. Blood. 2021;137(19):2634–2645.</w:t>
      </w:r>
    </w:p>
    <w:p w14:paraId="61B11224"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27. Spurgeon S, Mei M, Barr PM, et al. Zilovertamab vedotin (MK-2140) in relapsed or refractory non-Hodgkin lymphoma: updated results from the phase 1 WAVELINE-001 study. HemaSphere. 2023;7(Suppl):e54506b2.</w:t>
      </w:r>
    </w:p>
    <w:p w14:paraId="6111DC06"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28. Wang M, et al. Three-year follow-up of KTE-X19 in patients with relapsed/refractory mantle cell lymphoma, including high-risk subgroups, in the ZUMA-2 study. J Clin Oncol. 2023;41(3):555–567.</w:t>
      </w:r>
    </w:p>
    <w:p w14:paraId="0532B012"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29. Iacoboni G, et al. Real-world evidence of brexucabtagene autoleucel for the treatment of relapsed or refractory mantle cell lymphoma. Blood Adv. 2022;6(12):3606–3610.</w:t>
      </w:r>
    </w:p>
    <w:p w14:paraId="04994682"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30. Wang Y, et al. Brexucabtagene autoleucel for relapsed or refractory mantle cell lymphoma in standard-of-care practice: results from the US Lymphoma CAR T Consortium. J Clin Oncol. 2023;41(14):2594–2606.</w:t>
      </w:r>
    </w:p>
    <w:p w14:paraId="0732A3E6"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31. Wang M, et al. Lisocabtagene maraleucel in relapsed/refractory mantle cell lymphoma: primary analysis of the mantle cell lymphoma cohort from TRANSCEND NHL 001. J Clin Oncol. 2023;42(10):1146–1157.</w:t>
      </w:r>
    </w:p>
    <w:p w14:paraId="3CC66AA6" w14:textId="77777777" w:rsidR="008C16F2" w:rsidRPr="004F4119" w:rsidRDefault="008C16F2" w:rsidP="000C6123">
      <w:pPr>
        <w:spacing w:before="60" w:after="60" w:line="260" w:lineRule="auto"/>
        <w:ind w:left="360" w:hanging="360"/>
        <w:jc w:val="both"/>
        <w:rPr>
          <w:color w:val="444444"/>
          <w:sz w:val="18"/>
          <w:szCs w:val="18"/>
          <w:lang w:val="en-US"/>
        </w:rPr>
      </w:pPr>
      <w:r>
        <w:rPr>
          <w:color w:val="444444"/>
          <w:sz w:val="18"/>
          <w:szCs w:val="18"/>
          <w:lang w:val="en-US"/>
        </w:rPr>
        <w:t>32. Wang M, et al. Lenalidomide in combination with rituximab for patients with relapsed or refractory mantle-cell lymphoma: a phase 1/2 clinical trial. Lancet Oncol. 2012;13(7):716–723.</w:t>
      </w:r>
    </w:p>
    <w:p w14:paraId="22F62FB5" w14:textId="77777777" w:rsidR="008C16F2" w:rsidRPr="004F4119" w:rsidRDefault="008C16F2" w:rsidP="000C6123">
      <w:pPr>
        <w:spacing w:before="60" w:after="60" w:line="260" w:lineRule="auto"/>
        <w:ind w:left="360" w:hanging="360"/>
        <w:jc w:val="both"/>
        <w:rPr>
          <w:sz w:val="18"/>
          <w:szCs w:val="18"/>
          <w:lang w:val="es-VE"/>
        </w:rPr>
      </w:pPr>
      <w:r>
        <w:rPr>
          <w:color w:val="444444"/>
          <w:sz w:val="18"/>
          <w:szCs w:val="18"/>
          <w:lang w:val="en-US"/>
        </w:rPr>
        <w:lastRenderedPageBreak/>
        <w:t>33. Goy A, et al. Single agent lenalidomide in patients with mantle cell lymphoma who relapsed or progressed after</w:t>
      </w:r>
      <w:r>
        <w:rPr>
          <w:sz w:val="18"/>
          <w:szCs w:val="18"/>
          <w:lang w:val="en-US"/>
        </w:rPr>
        <w:t xml:space="preserve"> or were refractory to bortezomib: phase II MCL-001 (EMERGE) study. </w:t>
      </w:r>
      <w:r>
        <w:rPr>
          <w:sz w:val="18"/>
          <w:szCs w:val="18"/>
          <w:lang w:val="es-VE"/>
        </w:rPr>
        <w:t>J Clin Oncol. 2013;31(29):3688–3695.</w:t>
      </w:r>
    </w:p>
    <w:p w14:paraId="0000010E" w14:textId="77777777" w:rsidR="00205D31" w:rsidRPr="000C6123" w:rsidRDefault="00000000" w:rsidP="00D3731D">
      <w:pPr>
        <w:pStyle w:val="Ttulo2"/>
        <w:keepNext w:val="0"/>
        <w:keepLines w:val="0"/>
        <w:spacing w:after="80"/>
        <w:jc w:val="both"/>
        <w:rPr>
          <w:b/>
          <w:sz w:val="24"/>
          <w:szCs w:val="24"/>
        </w:rPr>
      </w:pPr>
      <w:bookmarkStart w:id="28" w:name="_heading=h.n0wjlnz004z6" w:colFirst="0" w:colLast="0"/>
      <w:bookmarkStart w:id="29" w:name="_heading=h.x8mhuyobo95j" w:colFirst="0" w:colLast="0"/>
      <w:bookmarkStart w:id="30" w:name="_heading=h.44vq2lmshxtn" w:colFirst="0" w:colLast="0"/>
      <w:bookmarkStart w:id="31" w:name="_heading=h.pfru43873979" w:colFirst="0" w:colLast="0"/>
      <w:bookmarkStart w:id="32" w:name="_heading=h.mcs53y6y0k57" w:colFirst="0" w:colLast="0"/>
      <w:bookmarkStart w:id="33" w:name="_heading=h.xs76nnq9unuo" w:colFirst="0" w:colLast="0"/>
      <w:bookmarkStart w:id="34" w:name="_heading=h.z9pv6kubk119" w:colFirst="0" w:colLast="0"/>
      <w:bookmarkStart w:id="35" w:name="_heading=h.7yduhwbhkga3" w:colFirst="0" w:colLast="0"/>
      <w:bookmarkEnd w:id="28"/>
      <w:bookmarkEnd w:id="29"/>
      <w:bookmarkEnd w:id="30"/>
      <w:bookmarkEnd w:id="31"/>
      <w:bookmarkEnd w:id="32"/>
      <w:bookmarkEnd w:id="33"/>
      <w:bookmarkEnd w:id="34"/>
      <w:bookmarkEnd w:id="35"/>
      <w:r>
        <w:rPr>
          <w:b/>
          <w:sz w:val="24"/>
          <w:szCs w:val="24"/>
        </w:rPr>
        <w:t>7. PROFILAXIS Y PREVENCIÓN DE INFECCIONES</w:t>
      </w:r>
    </w:p>
    <w:p w14:paraId="497AF600" w14:textId="09987E8D" w:rsidR="002D6F4E" w:rsidRPr="000C6123" w:rsidRDefault="002D6F4E" w:rsidP="00D3731D">
      <w:pPr>
        <w:spacing w:after="240"/>
        <w:jc w:val="both"/>
        <w:rPr>
          <w:sz w:val="32"/>
          <w:szCs w:val="32"/>
        </w:rPr>
      </w:pPr>
      <w:r>
        <w:rPr>
          <w:b/>
          <w:bCs/>
          <w:i/>
          <w:iCs/>
          <w:sz w:val="24"/>
          <w:szCs w:val="24"/>
        </w:rPr>
        <w:t xml:space="preserve"> Dr. Brady Beltrán (Perú), Dr. Jaime Valdez (Colombia), Dr. Jorge Daza (Colombia</w:t>
      </w:r>
      <w:r>
        <w:rPr>
          <w:i/>
          <w:iCs/>
          <w:sz w:val="24"/>
          <w:szCs w:val="24"/>
        </w:rPr>
        <w:t>)</w:t>
      </w:r>
    </w:p>
    <w:p w14:paraId="0D3C3E70" w14:textId="77777777" w:rsidR="002D6F4E" w:rsidRPr="000C6123" w:rsidRDefault="002D6F4E" w:rsidP="00D3731D">
      <w:pPr>
        <w:spacing w:before="280" w:after="140"/>
        <w:jc w:val="both"/>
        <w:rPr>
          <w:sz w:val="32"/>
          <w:szCs w:val="32"/>
        </w:rPr>
      </w:pPr>
      <w:r>
        <w:rPr>
          <w:b/>
          <w:bCs/>
          <w:sz w:val="24"/>
          <w:szCs w:val="24"/>
        </w:rPr>
        <w:t>7.1 ¿Debe realizarse profilaxis antibiótica durante el mantenimiento en adultos mayores? ¿Cuáles son las estrategias de inmunización y profilaxis en pacientes recibiendo inhibidores de BTK?</w:t>
      </w:r>
    </w:p>
    <w:p w14:paraId="5B33F965" w14:textId="77777777" w:rsidR="002D6F4E" w:rsidRPr="00172E82" w:rsidRDefault="002D6F4E" w:rsidP="00D3731D">
      <w:pPr>
        <w:spacing w:after="140"/>
        <w:jc w:val="both"/>
        <w:rPr>
          <w:i/>
          <w:iCs/>
        </w:rPr>
      </w:pPr>
      <w:r>
        <w:rPr>
          <w:i/>
          <w:iCs/>
        </w:rPr>
        <w:t>LA DECISIÓN DE PROFILAXIS DEBE INDIVIDUALIZARSE SEGÚN RÉGIMEN DE MANTENIMIENTO. PROFILAXIS RECOMENDADA:</w:t>
      </w:r>
    </w:p>
    <w:p w14:paraId="73F3860F" w14:textId="77777777" w:rsidR="002D6F4E" w:rsidRPr="00172E82" w:rsidRDefault="002D6F4E" w:rsidP="00D3731D">
      <w:pPr>
        <w:spacing w:after="140"/>
        <w:ind w:left="400"/>
        <w:jc w:val="both"/>
        <w:rPr>
          <w:i/>
          <w:iCs/>
        </w:rPr>
      </w:pPr>
      <w:r>
        <w:rPr>
          <w:i/>
          <w:iCs/>
        </w:rPr>
        <w:t>VVZ/VHS – ACICLOVIR/VALACICLOVIR EN SEROPOSITIVOS CON FACTORES DE RIESGO;</w:t>
      </w:r>
      <w:r>
        <w:rPr>
          <w:i/>
          <w:iCs/>
          <w:vertAlign w:val="superscript"/>
        </w:rPr>
        <w:t>1,2</w:t>
      </w:r>
    </w:p>
    <w:p w14:paraId="606ADCA4" w14:textId="77777777" w:rsidR="002D6F4E" w:rsidRPr="00172E82" w:rsidRDefault="002D6F4E" w:rsidP="00D3731D">
      <w:pPr>
        <w:spacing w:after="140"/>
        <w:ind w:left="400"/>
        <w:jc w:val="both"/>
        <w:rPr>
          <w:i/>
          <w:iCs/>
        </w:rPr>
      </w:pPr>
      <w:r>
        <w:rPr>
          <w:i/>
          <w:iCs/>
        </w:rPr>
        <w:t>PJP – TMP-SMX EN ESTEROIDES ≥20 mg ≥4 SEMANAS O LINFOPENIA SIGNIFICATIVA;</w:t>
      </w:r>
      <w:r>
        <w:rPr>
          <w:i/>
          <w:iCs/>
          <w:vertAlign w:val="superscript"/>
        </w:rPr>
        <w:t>3,4</w:t>
      </w:r>
    </w:p>
    <w:p w14:paraId="7E9F6EB1" w14:textId="77777777" w:rsidR="002D6F4E" w:rsidRPr="00172E82" w:rsidRDefault="002D6F4E" w:rsidP="00D3731D">
      <w:pPr>
        <w:spacing w:after="140"/>
        <w:ind w:left="400"/>
        <w:jc w:val="both"/>
        <w:rPr>
          <w:i/>
          <w:iCs/>
        </w:rPr>
      </w:pPr>
      <w:r>
        <w:rPr>
          <w:i/>
          <w:iCs/>
        </w:rPr>
        <w:t>VHB – ENTECAVIR/TENOFOVIR EN PORTADORES (HBsAg+) O INFECCIÓN RESUELTA (anti-HBc+);</w:t>
      </w:r>
      <w:r>
        <w:rPr>
          <w:i/>
          <w:iCs/>
          <w:vertAlign w:val="superscript"/>
        </w:rPr>
        <w:t>5,6</w:t>
      </w:r>
    </w:p>
    <w:p w14:paraId="45668AD0" w14:textId="77777777" w:rsidR="002D6F4E" w:rsidRPr="00172E82" w:rsidRDefault="002D6F4E" w:rsidP="00D3731D">
      <w:pPr>
        <w:spacing w:after="140"/>
        <w:ind w:left="400"/>
        <w:jc w:val="both"/>
        <w:rPr>
          <w:i/>
          <w:iCs/>
        </w:rPr>
      </w:pPr>
      <w:r>
        <w:rPr>
          <w:i/>
          <w:iCs/>
        </w:rPr>
        <w:t>NO PROFILAXIS UNIVERSAL FÚNGICA NI SARS-CoV-2 (SALVO DISPONIBILIDAD).</w:t>
      </w:r>
      <w:r>
        <w:rPr>
          <w:i/>
          <w:iCs/>
          <w:vertAlign w:val="superscript"/>
        </w:rPr>
        <w:t>7,8</w:t>
      </w:r>
    </w:p>
    <w:p w14:paraId="09E839D6" w14:textId="77777777" w:rsidR="002D6F4E" w:rsidRDefault="002D6F4E" w:rsidP="00D3731D">
      <w:pPr>
        <w:spacing w:after="160"/>
        <w:ind w:left="400"/>
        <w:jc w:val="both"/>
      </w:pPr>
      <w:r>
        <w:rPr>
          <w:i/>
          <w:iCs/>
        </w:rPr>
        <w:t>VACUNACIÓN (ANTES DE BTKi SI ES POSIBLE): INFLUENZA ANUAL (INACTIVADA</w:t>
      </w:r>
      <w:r>
        <w:rPr>
          <w:i/>
          <w:iCs/>
          <w:vertAlign w:val="superscript"/>
        </w:rPr>
        <w:t>9</w:t>
      </w:r>
      <w:r>
        <w:rPr>
          <w:i/>
          <w:iCs/>
        </w:rPr>
        <w:t>), NEUMOCOCO (PCV20 O PCV15 + PPSV23</w:t>
      </w:r>
      <w:r>
        <w:rPr>
          <w:i/>
          <w:iCs/>
          <w:vertAlign w:val="superscript"/>
        </w:rPr>
        <w:t>9,10</w:t>
      </w:r>
      <w:r>
        <w:rPr>
          <w:i/>
          <w:iCs/>
        </w:rPr>
        <w:t>), HEPATITIS B (SI SERONEGATIVO CON RIESGO</w:t>
      </w:r>
      <w:r>
        <w:rPr>
          <w:i/>
          <w:iCs/>
          <w:vertAlign w:val="superscript"/>
        </w:rPr>
        <w:t>5</w:t>
      </w:r>
      <w:r>
        <w:rPr>
          <w:i/>
          <w:iCs/>
        </w:rPr>
        <w:t>), COVID-19 (ESQUEMA COMPLETO + REFUERZOS</w:t>
      </w:r>
      <w:r>
        <w:rPr>
          <w:i/>
          <w:iCs/>
          <w:vertAlign w:val="superscript"/>
        </w:rPr>
        <w:t>8</w:t>
      </w:r>
      <w:r>
        <w:rPr>
          <w:i/>
          <w:iCs/>
        </w:rPr>
        <w:t>); EVITAR VACUNAS VIVAS.</w:t>
      </w:r>
      <w:r>
        <w:rPr>
          <w:i/>
          <w:iCs/>
          <w:vertAlign w:val="superscript"/>
        </w:rPr>
        <w:t>9,</w:t>
      </w:r>
      <w:r>
        <w:rPr>
          <w:sz w:val="16"/>
          <w:szCs w:val="16"/>
          <w:vertAlign w:val="superscript"/>
        </w:rPr>
        <w:t>11</w:t>
      </w:r>
    </w:p>
    <w:p w14:paraId="21B45CF1" w14:textId="0E796D28" w:rsidR="002D6F4E" w:rsidRDefault="002D6F4E" w:rsidP="00D3731D">
      <w:pPr>
        <w:spacing w:after="140"/>
        <w:jc w:val="both"/>
      </w:pPr>
      <w:r>
        <w:rPr>
          <w:b/>
          <w:bCs/>
        </w:rPr>
        <w:t xml:space="preserve">Justificación: </w:t>
      </w:r>
      <w:r>
        <w:rPr>
          <w:sz w:val="20"/>
          <w:szCs w:val="20"/>
          <w:u w:val="single"/>
        </w:rPr>
        <w:t>HERPES (VVZ/VHS)</w:t>
      </w:r>
      <w:r>
        <w:rPr>
          <w:sz w:val="20"/>
          <w:szCs w:val="20"/>
        </w:rPr>
        <w:t>: Aciclovir o valaciclovir está recomendado en seropositivos sometidos a terapias de alto riesgo (linfopenia profunda, trasplante, combinaciones de agentes inmunosupresores).</w:t>
      </w:r>
      <w:r>
        <w:rPr>
          <w:sz w:val="16"/>
          <w:szCs w:val="16"/>
          <w:vertAlign w:val="superscript"/>
        </w:rPr>
        <w:t>1,2</w:t>
      </w:r>
      <w:r>
        <w:rPr>
          <w:sz w:val="20"/>
          <w:szCs w:val="20"/>
        </w:rPr>
        <w:t xml:space="preserve"> Con anti-CD20 aislado el riesgo es variable; la profilaxis es razonable en presencia de factores de riesgo o antecedentes de herpes zóster.</w:t>
      </w:r>
      <w:r>
        <w:rPr>
          <w:sz w:val="16"/>
          <w:szCs w:val="16"/>
          <w:vertAlign w:val="superscript"/>
        </w:rPr>
        <w:t>2</w:t>
      </w:r>
      <w:r>
        <w:rPr>
          <w:sz w:val="20"/>
          <w:szCs w:val="20"/>
          <w:u w:val="single"/>
        </w:rPr>
        <w:t>PNEUMOCYSTIS (PJP):</w:t>
      </w:r>
      <w:r>
        <w:rPr>
          <w:sz w:val="20"/>
          <w:szCs w:val="20"/>
        </w:rPr>
        <w:t xml:space="preserve"> TMP-SMX está indicado en pacientes que reciben corticosteroides sistémicos (≥20 mg de prednisolona durante ≥4 semanas) o que presentan linfopenia significativa.</w:t>
      </w:r>
      <w:r>
        <w:rPr>
          <w:sz w:val="16"/>
          <w:szCs w:val="16"/>
          <w:vertAlign w:val="superscript"/>
        </w:rPr>
        <w:t>3,4</w:t>
      </w:r>
      <w:r>
        <w:rPr>
          <w:sz w:val="20"/>
          <w:szCs w:val="20"/>
        </w:rPr>
        <w:t xml:space="preserve"> Con rituximab sin esteroides ni otros factores de riesgo, la decisión debe individualizarse; considerar en pacientes con antecedentes de infecciones pulmonares atípicas.</w:t>
      </w:r>
      <w:r>
        <w:rPr>
          <w:sz w:val="16"/>
          <w:szCs w:val="16"/>
          <w:vertAlign w:val="superscript"/>
        </w:rPr>
        <w:t>4</w:t>
      </w:r>
      <w:r>
        <w:rPr>
          <w:sz w:val="20"/>
          <w:szCs w:val="20"/>
          <w:u w:val="single"/>
        </w:rPr>
        <w:t>INFECCIONES FÚNGICAS</w:t>
      </w:r>
      <w:r>
        <w:rPr>
          <w:sz w:val="20"/>
          <w:szCs w:val="20"/>
        </w:rPr>
        <w:t>: No se recomienda profilaxis antifúngica universal; el riesgo de enfermedad fúngica invasiva en LCM es inferior al 5%.</w:t>
      </w:r>
      <w:r>
        <w:rPr>
          <w:sz w:val="16"/>
          <w:szCs w:val="16"/>
          <w:vertAlign w:val="superscript"/>
        </w:rPr>
        <w:t>7</w:t>
      </w:r>
      <w:r>
        <w:rPr>
          <w:sz w:val="20"/>
          <w:szCs w:val="20"/>
        </w:rPr>
        <w:t xml:space="preserve"> Individualizar en pacientes de alto riesgo; considerar cuando se combinan ibrutinib con quimioterapia y corticosteroides a altas dosis.</w:t>
      </w:r>
      <w:r>
        <w:rPr>
          <w:sz w:val="16"/>
          <w:szCs w:val="16"/>
          <w:vertAlign w:val="superscript"/>
        </w:rPr>
        <w:t>7,11</w:t>
      </w:r>
      <w:r>
        <w:rPr>
          <w:sz w:val="20"/>
          <w:szCs w:val="20"/>
          <w:u w:val="single"/>
        </w:rPr>
        <w:t xml:space="preserve"> HEPATITIS B (VHB</w:t>
      </w:r>
      <w:r>
        <w:rPr>
          <w:sz w:val="20"/>
          <w:szCs w:val="20"/>
        </w:rPr>
        <w:t>): Cribado universal obligatorio: HBsAg, anti-HBc total y anti-HBs.</w:t>
      </w:r>
      <w:r>
        <w:rPr>
          <w:sz w:val="16"/>
          <w:szCs w:val="16"/>
          <w:vertAlign w:val="superscript"/>
        </w:rPr>
        <w:t>5,6</w:t>
      </w:r>
      <w:r>
        <w:rPr>
          <w:sz w:val="20"/>
          <w:szCs w:val="20"/>
        </w:rPr>
        <w:t xml:space="preserve"> Los pacientes HBsAg+ o anti-HBc+ tienen alto riesgo de reactivación; se recomienda profilaxis con entecavir o tenofovir, iniciando antes de la primera dosis de anti-CD20 y manteniéndola durante ≥12 meses tras finalizar el tratamiento (algunas guías recomiendan 18 meses); seguimiento periódico con HBV-DNA y función hepática.</w:t>
      </w:r>
      <w:r>
        <w:rPr>
          <w:sz w:val="16"/>
          <w:szCs w:val="16"/>
          <w:vertAlign w:val="superscript"/>
        </w:rPr>
        <w:t>5,6</w:t>
      </w:r>
      <w:r>
        <w:rPr>
          <w:sz w:val="20"/>
          <w:szCs w:val="20"/>
          <w:u w:val="single"/>
        </w:rPr>
        <w:t xml:space="preserve"> SARS-CoV-2 (COVID-19</w:t>
      </w:r>
      <w:r>
        <w:rPr>
          <w:sz w:val="20"/>
          <w:szCs w:val="20"/>
        </w:rPr>
        <w:t>): Considerar profilaxis pre-exposición con anticuerpos monoclonales si están disponibles.</w:t>
      </w:r>
      <w:r>
        <w:rPr>
          <w:sz w:val="16"/>
          <w:szCs w:val="16"/>
          <w:vertAlign w:val="superscript"/>
        </w:rPr>
        <w:t>8</w:t>
      </w:r>
      <w:r>
        <w:rPr>
          <w:sz w:val="20"/>
          <w:szCs w:val="20"/>
        </w:rPr>
        <w:t xml:space="preserve"> Los pacientes con LCM bajo BTKi tienen mayor riesgo de infección grave y respuesta subóptima a la vacunación.</w:t>
      </w:r>
      <w:r>
        <w:rPr>
          <w:sz w:val="16"/>
          <w:szCs w:val="16"/>
          <w:vertAlign w:val="superscript"/>
        </w:rPr>
        <w:t>8,12</w:t>
      </w:r>
      <w:r>
        <w:rPr>
          <w:sz w:val="20"/>
          <w:szCs w:val="20"/>
          <w:u w:val="single"/>
        </w:rPr>
        <w:t xml:space="preserve"> VACUNACIÓN</w:t>
      </w:r>
      <w:r>
        <w:rPr>
          <w:sz w:val="20"/>
          <w:szCs w:val="20"/>
        </w:rPr>
        <w:t>: Los BTKi confieren inmunosupresión que afecta la respuesta vacunal; vacunar antes del inicio del BTKi cuando sea posible maximiza la respuesta inmune.</w:t>
      </w:r>
      <w:r>
        <w:rPr>
          <w:sz w:val="16"/>
          <w:szCs w:val="16"/>
          <w:vertAlign w:val="superscript"/>
        </w:rPr>
        <w:t>9,11</w:t>
      </w:r>
      <w:r>
        <w:rPr>
          <w:sz w:val="20"/>
          <w:szCs w:val="20"/>
        </w:rPr>
        <w:t xml:space="preserve"> Las vacunas recomendadas son: influenza anual inactivada,</w:t>
      </w:r>
      <w:r>
        <w:rPr>
          <w:sz w:val="16"/>
          <w:szCs w:val="16"/>
          <w:vertAlign w:val="superscript"/>
        </w:rPr>
        <w:t>9</w:t>
      </w:r>
      <w:r>
        <w:rPr>
          <w:sz w:val="20"/>
          <w:szCs w:val="20"/>
        </w:rPr>
        <w:t xml:space="preserve"> neumococo (PCV20 o secuencia PCV15 + PPSV23),</w:t>
      </w:r>
      <w:r>
        <w:rPr>
          <w:sz w:val="16"/>
          <w:szCs w:val="16"/>
          <w:vertAlign w:val="superscript"/>
        </w:rPr>
        <w:t>9,10</w:t>
      </w:r>
      <w:r>
        <w:rPr>
          <w:sz w:val="20"/>
          <w:szCs w:val="20"/>
        </w:rPr>
        <w:t xml:space="preserve"> hepatitis B en seronegativos con riesgo,</w:t>
      </w:r>
      <w:r>
        <w:rPr>
          <w:sz w:val="16"/>
          <w:szCs w:val="16"/>
          <w:vertAlign w:val="superscript"/>
        </w:rPr>
        <w:t>5</w:t>
      </w:r>
      <w:r>
        <w:rPr>
          <w:sz w:val="20"/>
          <w:szCs w:val="20"/>
        </w:rPr>
        <w:t xml:space="preserve"> y COVID-19 con esquema completo más refuerzos.</w:t>
      </w:r>
      <w:r>
        <w:rPr>
          <w:sz w:val="16"/>
          <w:szCs w:val="16"/>
          <w:vertAlign w:val="superscript"/>
        </w:rPr>
        <w:t>8</w:t>
      </w:r>
      <w:r>
        <w:rPr>
          <w:sz w:val="20"/>
          <w:szCs w:val="20"/>
        </w:rPr>
        <w:t xml:space="preserve"> Las vacunas vivas están contraindicadas durante la inmunosupresión.</w:t>
      </w:r>
      <w:r>
        <w:rPr>
          <w:sz w:val="16"/>
          <w:szCs w:val="16"/>
          <w:vertAlign w:val="superscript"/>
        </w:rPr>
        <w:t>9,11</w:t>
      </w:r>
      <w:r>
        <w:rPr>
          <w:sz w:val="20"/>
          <w:szCs w:val="20"/>
        </w:rPr>
        <w:t xml:space="preserve"> Los usuarios de BTKi muestran eficacia reducida de la vacuna contra hepatitis B y zóster comparada con </w:t>
      </w:r>
      <w:r>
        <w:rPr>
          <w:sz w:val="20"/>
          <w:szCs w:val="20"/>
        </w:rPr>
        <w:lastRenderedPageBreak/>
        <w:t>la población general; la variabilidad en incidencia y gravedad de infecciones refleja la heterogeneidad de la respuesta a BTKi.</w:t>
      </w:r>
      <w:r>
        <w:rPr>
          <w:sz w:val="16"/>
          <w:szCs w:val="16"/>
          <w:vertAlign w:val="superscript"/>
        </w:rPr>
        <w:t>12,13</w:t>
      </w:r>
    </w:p>
    <w:p w14:paraId="1F5E4678" w14:textId="77777777" w:rsidR="002D6F4E" w:rsidRDefault="002D6F4E" w:rsidP="00D3731D">
      <w:pPr>
        <w:spacing w:after="140"/>
        <w:jc w:val="both"/>
      </w:pPr>
      <w:r>
        <w:rPr>
          <w:sz w:val="20"/>
          <w:szCs w:val="20"/>
        </w:rPr>
        <w:t>El mantenimiento con anti-CD20 genera inmunosupresión con riesgo real aunque variable de infecciones oportunistas; la profilaxis dirigida reduce la morbilidad sin sobretratamiento.</w:t>
      </w:r>
      <w:r>
        <w:rPr>
          <w:sz w:val="16"/>
          <w:szCs w:val="16"/>
          <w:vertAlign w:val="superscript"/>
        </w:rPr>
        <w:t>1,4</w:t>
      </w:r>
      <w:r>
        <w:rPr>
          <w:sz w:val="20"/>
          <w:szCs w:val="20"/>
        </w:rPr>
        <w:t xml:space="preserve"> La reactivación de VHB puede ser fatal sin profilaxis adecuada; el balance riesgo-beneficio favorece la profilaxis selectiva en todos los escenarios descritos.</w:t>
      </w:r>
      <w:r>
        <w:rPr>
          <w:sz w:val="16"/>
          <w:szCs w:val="16"/>
          <w:vertAlign w:val="superscript"/>
        </w:rPr>
        <w:t>5,6</w:t>
      </w:r>
    </w:p>
    <w:p w14:paraId="7EC236EB" w14:textId="77777777" w:rsidR="002D6F4E" w:rsidRDefault="002D6F4E" w:rsidP="00D3731D">
      <w:pPr>
        <w:spacing w:after="140"/>
        <w:jc w:val="both"/>
      </w:pPr>
      <w:r>
        <w:rPr>
          <w:b/>
          <w:bCs/>
          <w:sz w:val="21"/>
          <w:szCs w:val="21"/>
        </w:rPr>
        <w:t xml:space="preserve">Declaración (2C–D). </w:t>
      </w:r>
      <w:r>
        <w:rPr>
          <w:sz w:val="20"/>
          <w:szCs w:val="20"/>
        </w:rPr>
        <w:t>Individualizar las decisiones de profilaxis según el régimen de mantenimiento:</w:t>
      </w:r>
    </w:p>
    <w:p w14:paraId="7BC1C097" w14:textId="77777777" w:rsidR="002D6F4E" w:rsidRDefault="002D6F4E" w:rsidP="00D3731D">
      <w:pPr>
        <w:pStyle w:val="Prrafodelista"/>
        <w:numPr>
          <w:ilvl w:val="0"/>
          <w:numId w:val="8"/>
        </w:numPr>
        <w:spacing w:after="140"/>
        <w:jc w:val="both"/>
      </w:pPr>
      <w:r>
        <w:rPr>
          <w:sz w:val="20"/>
          <w:szCs w:val="20"/>
        </w:rPr>
        <w:t>Usar aciclovir/valaciclovir para VVZ/VHS en seropositivos con factores de riesgo;</w:t>
      </w:r>
      <w:r>
        <w:rPr>
          <w:sz w:val="16"/>
          <w:szCs w:val="16"/>
          <w:vertAlign w:val="superscript"/>
        </w:rPr>
        <w:t>1,2</w:t>
      </w:r>
    </w:p>
    <w:p w14:paraId="53065E5C" w14:textId="77777777" w:rsidR="002D6F4E" w:rsidRDefault="002D6F4E" w:rsidP="00D3731D">
      <w:pPr>
        <w:pStyle w:val="Prrafodelista"/>
        <w:numPr>
          <w:ilvl w:val="0"/>
          <w:numId w:val="8"/>
        </w:numPr>
        <w:spacing w:after="140"/>
        <w:jc w:val="both"/>
      </w:pPr>
      <w:r>
        <w:rPr>
          <w:sz w:val="20"/>
          <w:szCs w:val="20"/>
        </w:rPr>
        <w:t>usar TMP-SMX para profilaxis de PJP con esteroides ≥20 mg ≥4 semanas o linfopenia significativa;</w:t>
      </w:r>
      <w:r>
        <w:rPr>
          <w:sz w:val="16"/>
          <w:szCs w:val="16"/>
          <w:vertAlign w:val="superscript"/>
        </w:rPr>
        <w:t>3,4</w:t>
      </w:r>
    </w:p>
    <w:p w14:paraId="365ED2DA" w14:textId="77777777" w:rsidR="002D6F4E" w:rsidRDefault="002D6F4E" w:rsidP="00D3731D">
      <w:pPr>
        <w:pStyle w:val="Prrafodelista"/>
        <w:numPr>
          <w:ilvl w:val="0"/>
          <w:numId w:val="8"/>
        </w:numPr>
        <w:spacing w:after="140"/>
        <w:jc w:val="both"/>
      </w:pPr>
      <w:r>
        <w:rPr>
          <w:sz w:val="20"/>
          <w:szCs w:val="20"/>
        </w:rPr>
        <w:t>usar entecavir/tenofovir para portadores de VHB o infección resuelta, iniciando antes de la primera dosis de anti-CD20 y continuando ≥12 meses tras finalizar;</w:t>
      </w:r>
      <w:r>
        <w:rPr>
          <w:sz w:val="16"/>
          <w:szCs w:val="16"/>
          <w:vertAlign w:val="superscript"/>
        </w:rPr>
        <w:t>5,6</w:t>
      </w:r>
    </w:p>
    <w:p w14:paraId="6ECBD075" w14:textId="77777777" w:rsidR="002D6F4E" w:rsidRDefault="002D6F4E" w:rsidP="00D3731D">
      <w:pPr>
        <w:pStyle w:val="Prrafodelista"/>
        <w:numPr>
          <w:ilvl w:val="0"/>
          <w:numId w:val="8"/>
        </w:numPr>
        <w:spacing w:after="140"/>
        <w:jc w:val="both"/>
      </w:pPr>
      <w:r>
        <w:rPr>
          <w:sz w:val="20"/>
          <w:szCs w:val="20"/>
        </w:rPr>
        <w:t>no usar profilaxis antifúngica universal (individualizar en alto riesgo);</w:t>
      </w:r>
      <w:r>
        <w:rPr>
          <w:sz w:val="16"/>
          <w:szCs w:val="16"/>
          <w:vertAlign w:val="superscript"/>
        </w:rPr>
        <w:t>7</w:t>
      </w:r>
    </w:p>
    <w:p w14:paraId="1C08FB7D" w14:textId="77777777" w:rsidR="002D6F4E" w:rsidRDefault="002D6F4E" w:rsidP="00D3731D">
      <w:pPr>
        <w:pStyle w:val="Prrafodelista"/>
        <w:numPr>
          <w:ilvl w:val="0"/>
          <w:numId w:val="8"/>
        </w:numPr>
        <w:spacing w:after="140"/>
        <w:jc w:val="both"/>
      </w:pPr>
      <w:r>
        <w:rPr>
          <w:sz w:val="20"/>
          <w:szCs w:val="20"/>
        </w:rPr>
        <w:t>vacunar antes de BTKi cuando sea posible con influenza anual inactivada,</w:t>
      </w:r>
      <w:r>
        <w:rPr>
          <w:sz w:val="16"/>
          <w:szCs w:val="16"/>
          <w:vertAlign w:val="superscript"/>
        </w:rPr>
        <w:t>9</w:t>
      </w:r>
      <w:r>
        <w:rPr>
          <w:sz w:val="20"/>
          <w:szCs w:val="20"/>
        </w:rPr>
        <w:t xml:space="preserve"> neumocócica (PCV20 o PCV15 + PPSV23),</w:t>
      </w:r>
      <w:r>
        <w:rPr>
          <w:sz w:val="16"/>
          <w:szCs w:val="16"/>
          <w:vertAlign w:val="superscript"/>
        </w:rPr>
        <w:t>9,10</w:t>
      </w:r>
      <w:r>
        <w:rPr>
          <w:sz w:val="20"/>
          <w:szCs w:val="20"/>
        </w:rPr>
        <w:t xml:space="preserve"> hepatitis B (si seronegativo con riesgo</w:t>
      </w:r>
      <w:r>
        <w:rPr>
          <w:sz w:val="16"/>
          <w:szCs w:val="16"/>
          <w:vertAlign w:val="superscript"/>
        </w:rPr>
        <w:t>5</w:t>
      </w:r>
      <w:r>
        <w:rPr>
          <w:sz w:val="20"/>
          <w:szCs w:val="20"/>
        </w:rPr>
        <w:t>) y COVID-19 (esquema completo más refuerzos);</w:t>
      </w:r>
      <w:r>
        <w:rPr>
          <w:sz w:val="16"/>
          <w:szCs w:val="16"/>
          <w:vertAlign w:val="superscript"/>
        </w:rPr>
        <w:t>8</w:t>
      </w:r>
    </w:p>
    <w:p w14:paraId="1FA49BF1" w14:textId="77777777" w:rsidR="002D6F4E" w:rsidRDefault="002D6F4E" w:rsidP="00D3731D">
      <w:pPr>
        <w:pStyle w:val="Prrafodelista"/>
        <w:numPr>
          <w:ilvl w:val="0"/>
          <w:numId w:val="8"/>
        </w:numPr>
        <w:spacing w:after="140"/>
        <w:jc w:val="both"/>
      </w:pPr>
      <w:r>
        <w:rPr>
          <w:sz w:val="20"/>
          <w:szCs w:val="20"/>
        </w:rPr>
        <w:t>evitar vacunas vivas;</w:t>
      </w:r>
      <w:r>
        <w:rPr>
          <w:sz w:val="16"/>
          <w:szCs w:val="16"/>
          <w:vertAlign w:val="superscript"/>
        </w:rPr>
        <w:t>9,11</w:t>
      </w:r>
    </w:p>
    <w:p w14:paraId="08FF2281" w14:textId="0308B459" w:rsidR="002D6F4E" w:rsidRDefault="002D6F4E" w:rsidP="00D3731D">
      <w:pPr>
        <w:pStyle w:val="Prrafodelista"/>
        <w:numPr>
          <w:ilvl w:val="0"/>
          <w:numId w:val="8"/>
        </w:numPr>
        <w:spacing w:after="300"/>
        <w:jc w:val="both"/>
      </w:pPr>
      <w:r>
        <w:rPr>
          <w:sz w:val="20"/>
          <w:szCs w:val="20"/>
        </w:rPr>
        <w:t>considerar profilaxis pre-exposición COVID-19 con anticuerpos monoclonales si están disponibles.</w:t>
      </w:r>
    </w:p>
    <w:p w14:paraId="001683C4" w14:textId="77777777" w:rsidR="002D6F4E" w:rsidRPr="004F4119" w:rsidRDefault="002D6F4E" w:rsidP="000C6123">
      <w:pPr>
        <w:spacing w:before="60" w:after="60" w:line="260" w:lineRule="auto"/>
        <w:ind w:left="360" w:hanging="360"/>
        <w:jc w:val="both"/>
        <w:rPr>
          <w:b/>
          <w:bCs/>
          <w:color w:val="444444"/>
          <w:sz w:val="18"/>
          <w:szCs w:val="18"/>
          <w:lang w:val="en-US"/>
        </w:rPr>
      </w:pPr>
      <w:r>
        <w:rPr>
          <w:b/>
          <w:bCs/>
          <w:color w:val="444444"/>
          <w:sz w:val="18"/>
          <w:szCs w:val="18"/>
          <w:lang w:val="en-US"/>
        </w:rPr>
        <w:t>Bibliografía</w:t>
      </w:r>
    </w:p>
    <w:p w14:paraId="7AC9AA6D" w14:textId="77777777" w:rsidR="002D6F4E" w:rsidRPr="004F4119" w:rsidRDefault="002D6F4E" w:rsidP="000C6123">
      <w:pPr>
        <w:spacing w:before="60" w:after="60" w:line="260" w:lineRule="auto"/>
        <w:ind w:left="360" w:hanging="360"/>
        <w:jc w:val="both"/>
        <w:rPr>
          <w:color w:val="444444"/>
          <w:sz w:val="18"/>
          <w:szCs w:val="18"/>
          <w:lang w:val="en-US"/>
        </w:rPr>
      </w:pPr>
      <w:r>
        <w:rPr>
          <w:color w:val="444444"/>
          <w:sz w:val="18"/>
          <w:szCs w:val="18"/>
          <w:lang w:val="en-US"/>
        </w:rPr>
        <w:t>1. Ljungman P, Boeckh M, Hirsch HH, et al. Definitions of cytomegalovirus infection and disease in transplant patients for use in clinical trials. Clin Infect Dis. 2017;64(1):87–91.</w:t>
      </w:r>
    </w:p>
    <w:p w14:paraId="259C0898" w14:textId="77777777" w:rsidR="002D6F4E" w:rsidRPr="004F4119" w:rsidRDefault="002D6F4E" w:rsidP="000C6123">
      <w:pPr>
        <w:spacing w:before="60" w:after="60" w:line="260" w:lineRule="auto"/>
        <w:ind w:left="360" w:hanging="360"/>
        <w:jc w:val="both"/>
        <w:rPr>
          <w:color w:val="444444"/>
          <w:sz w:val="18"/>
          <w:szCs w:val="18"/>
          <w:lang w:val="en-US"/>
        </w:rPr>
      </w:pPr>
      <w:r>
        <w:rPr>
          <w:color w:val="444444"/>
          <w:sz w:val="18"/>
          <w:szCs w:val="18"/>
          <w:lang w:val="en-US"/>
        </w:rPr>
        <w:t>2. Pergam SA, Limaye AP; AST Infectious Diseases Community of Practice. Varicella zoster virus in solid organ transplantation. Am J Transplant. 2013;13(Suppl 4):138–146.</w:t>
      </w:r>
    </w:p>
    <w:p w14:paraId="6E026D08" w14:textId="77777777" w:rsidR="002D6F4E" w:rsidRPr="004F4119" w:rsidRDefault="002D6F4E" w:rsidP="000C6123">
      <w:pPr>
        <w:spacing w:before="60" w:after="60" w:line="260" w:lineRule="auto"/>
        <w:ind w:left="360" w:hanging="360"/>
        <w:jc w:val="both"/>
        <w:rPr>
          <w:color w:val="444444"/>
          <w:sz w:val="18"/>
          <w:szCs w:val="18"/>
          <w:lang w:val="en-US"/>
        </w:rPr>
      </w:pPr>
      <w:r>
        <w:rPr>
          <w:color w:val="444444"/>
          <w:sz w:val="18"/>
          <w:szCs w:val="18"/>
          <w:lang w:val="en-US"/>
        </w:rPr>
        <w:t>3. Martin SI, Fishman JA; AST Infectious Diseases Community of Practice. Pneumocystis pneumonia in solid organ transplantation. Am J Transplant. 2013;13(Suppl 4):272–279.</w:t>
      </w:r>
    </w:p>
    <w:p w14:paraId="6E1DC67D" w14:textId="77777777" w:rsidR="002D6F4E" w:rsidRPr="004F4119" w:rsidRDefault="002D6F4E" w:rsidP="000C6123">
      <w:pPr>
        <w:spacing w:before="60" w:after="60" w:line="260" w:lineRule="auto"/>
        <w:ind w:left="360" w:hanging="360"/>
        <w:jc w:val="both"/>
        <w:rPr>
          <w:color w:val="444444"/>
          <w:sz w:val="18"/>
          <w:szCs w:val="18"/>
          <w:lang w:val="en-US"/>
        </w:rPr>
      </w:pPr>
      <w:r>
        <w:rPr>
          <w:color w:val="444444"/>
          <w:sz w:val="18"/>
          <w:szCs w:val="18"/>
          <w:lang w:val="es-VE"/>
        </w:rPr>
        <w:t xml:space="preserve">4. Maertens J, Cesaro S, Maschmeyer G, et al. </w:t>
      </w:r>
      <w:r>
        <w:rPr>
          <w:color w:val="444444"/>
          <w:sz w:val="18"/>
          <w:szCs w:val="18"/>
          <w:lang w:val="en-US"/>
        </w:rPr>
        <w:t>ECIL guidelines for preventing Pneumocystis jirovecii pneumonia in patients with haematological malignancies and stem cell transplant recipients. J Antimicrob Chemother. 2016;71(9):2397–2404.</w:t>
      </w:r>
    </w:p>
    <w:p w14:paraId="0754898C" w14:textId="77777777" w:rsidR="002D6F4E" w:rsidRPr="000C6123" w:rsidRDefault="002D6F4E" w:rsidP="000C6123">
      <w:pPr>
        <w:spacing w:before="60" w:after="60" w:line="260" w:lineRule="auto"/>
        <w:ind w:left="360" w:hanging="360"/>
        <w:jc w:val="both"/>
        <w:rPr>
          <w:sz w:val="18"/>
          <w:szCs w:val="18"/>
          <w:lang w:val="en-US"/>
        </w:rPr>
      </w:pPr>
      <w:r>
        <w:rPr>
          <w:color w:val="444444"/>
          <w:sz w:val="18"/>
          <w:szCs w:val="18"/>
          <w:lang w:val="en-US"/>
        </w:rPr>
        <w:t>5. Hwang JP, Lok AS. Management of patients with hepatitis B who require immunosuppressive therapy. Nat Rev Gastroenterol</w:t>
      </w:r>
      <w:r>
        <w:rPr>
          <w:sz w:val="18"/>
          <w:szCs w:val="18"/>
          <w:lang w:val="en-US"/>
        </w:rPr>
        <w:t xml:space="preserve"> Hepatol. 2014;11(4):209–219.</w:t>
      </w:r>
    </w:p>
    <w:p w14:paraId="512D7522" w14:textId="77777777" w:rsidR="002D6F4E" w:rsidRPr="000C6123" w:rsidRDefault="002D6F4E" w:rsidP="00D3731D">
      <w:pPr>
        <w:spacing w:after="100"/>
        <w:ind w:left="360" w:hanging="360"/>
        <w:jc w:val="both"/>
        <w:rPr>
          <w:sz w:val="18"/>
          <w:szCs w:val="18"/>
          <w:lang w:val="en-US"/>
        </w:rPr>
      </w:pPr>
      <w:r>
        <w:rPr>
          <w:sz w:val="18"/>
          <w:szCs w:val="18"/>
          <w:lang w:val="en-US"/>
        </w:rPr>
        <w:t>6. Reddy KR, Beavers KL, Hammond SP, Lim JK, Falck-Ytter YT; American Gastroenterological Association Institute. American Gastroenterological Association Institute guideline on the prevention and treatment of hepatitis B virus reactivation during immunosuppressive drug therapy. Gastroenterology. 2015;148(1):215–219.</w:t>
      </w:r>
    </w:p>
    <w:p w14:paraId="57F378CF" w14:textId="77777777" w:rsidR="002D6F4E" w:rsidRPr="004F4119" w:rsidRDefault="002D6F4E" w:rsidP="00D3731D">
      <w:pPr>
        <w:spacing w:after="100"/>
        <w:ind w:left="360" w:hanging="360"/>
        <w:jc w:val="both"/>
        <w:rPr>
          <w:lang w:val="en-US"/>
        </w:rPr>
      </w:pPr>
      <w:r>
        <w:rPr>
          <w:sz w:val="18"/>
          <w:szCs w:val="18"/>
          <w:lang w:val="en-US"/>
        </w:rPr>
        <w:t xml:space="preserve">7. Ullmann AJ, Aguado JM, Arikan-Akdagli S, et al. Diagnosis and management of </w:t>
      </w:r>
      <w:r>
        <w:rPr>
          <w:i/>
          <w:iCs/>
          <w:sz w:val="18"/>
          <w:szCs w:val="18"/>
          <w:lang w:val="en-US"/>
        </w:rPr>
        <w:t>Aspergillus</w:t>
      </w:r>
      <w:r>
        <w:rPr>
          <w:sz w:val="18"/>
          <w:szCs w:val="18"/>
          <w:lang w:val="en-US"/>
        </w:rPr>
        <w:t xml:space="preserve"> diseases: executive summary of the 2017 ESCMID-ECMM-ERS guideline. </w:t>
      </w:r>
      <w:r>
        <w:rPr>
          <w:i/>
          <w:iCs/>
          <w:sz w:val="18"/>
          <w:szCs w:val="18"/>
          <w:lang w:val="en-US"/>
        </w:rPr>
        <w:t>Clin Microbiol Infect</w:t>
      </w:r>
      <w:r>
        <w:rPr>
          <w:sz w:val="18"/>
          <w:szCs w:val="18"/>
          <w:lang w:val="en-US"/>
        </w:rPr>
        <w:t>. 2018;24(Suppl 1):e1–e38.</w:t>
      </w:r>
    </w:p>
    <w:p w14:paraId="326E86C6" w14:textId="77777777" w:rsidR="002D6F4E" w:rsidRPr="00DD4F1E" w:rsidRDefault="002D6F4E" w:rsidP="00D3731D">
      <w:pPr>
        <w:spacing w:after="100"/>
        <w:ind w:left="360" w:hanging="360"/>
        <w:jc w:val="both"/>
        <w:rPr>
          <w:lang w:val="en-US"/>
        </w:rPr>
      </w:pPr>
      <w:r>
        <w:rPr>
          <w:sz w:val="18"/>
          <w:szCs w:val="18"/>
          <w:lang w:val="en-US"/>
        </w:rPr>
        <w:t xml:space="preserve">8. Ljungman P, Mikulska M, de la Camara R, et al.; European Conference on Infections in Leukaemia group. The challenge of COVID-19 and hematopoietic cell transplantation; EBMT recommendations for management of hematopoietic cell transplant recipients, their donors, and patients undergoing CAR T-cell therapy. </w:t>
      </w:r>
      <w:r>
        <w:rPr>
          <w:i/>
          <w:iCs/>
          <w:sz w:val="18"/>
          <w:szCs w:val="18"/>
          <w:lang w:val="en-US"/>
        </w:rPr>
        <w:t>Bone Marrow Transplant</w:t>
      </w:r>
      <w:r>
        <w:rPr>
          <w:sz w:val="18"/>
          <w:szCs w:val="18"/>
          <w:lang w:val="en-US"/>
        </w:rPr>
        <w:t>. 2020;55(11):2071–2076.</w:t>
      </w:r>
    </w:p>
    <w:p w14:paraId="55353125" w14:textId="77777777" w:rsidR="002D6F4E" w:rsidRDefault="002D6F4E" w:rsidP="00D3731D">
      <w:pPr>
        <w:spacing w:after="100"/>
        <w:ind w:left="360" w:hanging="360"/>
        <w:jc w:val="both"/>
      </w:pPr>
      <w:r>
        <w:rPr>
          <w:sz w:val="18"/>
          <w:szCs w:val="18"/>
          <w:lang w:val="en-US"/>
        </w:rPr>
        <w:t xml:space="preserve">9. Rubin LG, Levin MJ, Ljungman P, et al.; Infectious Diseases Society of America. 2013 IDSA clinical practice guideline for vaccination of the immunocompromised host. </w:t>
      </w:r>
      <w:r>
        <w:rPr>
          <w:i/>
          <w:iCs/>
          <w:sz w:val="18"/>
          <w:szCs w:val="18"/>
        </w:rPr>
        <w:t>Clin Infect Dis</w:t>
      </w:r>
      <w:r>
        <w:rPr>
          <w:sz w:val="18"/>
          <w:szCs w:val="18"/>
        </w:rPr>
        <w:t>. 2014;58(3):e44–e100.</w:t>
      </w:r>
    </w:p>
    <w:p w14:paraId="74AB42C3" w14:textId="77777777" w:rsidR="002D6F4E" w:rsidRPr="00DD4F1E" w:rsidRDefault="002D6F4E" w:rsidP="00D3731D">
      <w:pPr>
        <w:spacing w:after="100"/>
        <w:ind w:left="360" w:hanging="360"/>
        <w:jc w:val="both"/>
        <w:rPr>
          <w:lang w:val="en-US"/>
        </w:rPr>
      </w:pPr>
      <w:r>
        <w:rPr>
          <w:sz w:val="18"/>
          <w:szCs w:val="18"/>
        </w:rPr>
        <w:t xml:space="preserve">10. Mattiuzzi G, Cortes J, Talpaz M, et al. </w:t>
      </w:r>
      <w:r>
        <w:rPr>
          <w:sz w:val="18"/>
          <w:szCs w:val="18"/>
          <w:lang w:val="en-US"/>
        </w:rPr>
        <w:t xml:space="preserve">Development of Varicella-Zoster virus infection in patients with chronic myelogenous leukemia treated with imatinib mesylate. </w:t>
      </w:r>
      <w:r>
        <w:rPr>
          <w:i/>
          <w:iCs/>
          <w:sz w:val="18"/>
          <w:szCs w:val="18"/>
          <w:lang w:val="en-US"/>
        </w:rPr>
        <w:t>Clin Cancer Res</w:t>
      </w:r>
      <w:r>
        <w:rPr>
          <w:sz w:val="18"/>
          <w:szCs w:val="18"/>
          <w:lang w:val="en-US"/>
        </w:rPr>
        <w:t>. 2003;9(3):976–980.</w:t>
      </w:r>
    </w:p>
    <w:p w14:paraId="692D2960" w14:textId="77777777" w:rsidR="002D6F4E" w:rsidRPr="00DD4F1E" w:rsidRDefault="002D6F4E" w:rsidP="00D3731D">
      <w:pPr>
        <w:spacing w:after="100"/>
        <w:ind w:left="360" w:hanging="360"/>
        <w:jc w:val="both"/>
        <w:rPr>
          <w:lang w:val="en-US"/>
        </w:rPr>
      </w:pPr>
      <w:r>
        <w:rPr>
          <w:sz w:val="18"/>
          <w:szCs w:val="18"/>
          <w:lang w:val="en-US"/>
        </w:rPr>
        <w:t xml:space="preserve">11. Ghez D, Calleja A, Protin C, et al.; French Innovative Leukemia Organization (FILO) CLL group. Early-onset invasive aspergillosis and other fungal infections in patients treated with ibrutinib. </w:t>
      </w:r>
      <w:r>
        <w:rPr>
          <w:i/>
          <w:iCs/>
          <w:sz w:val="18"/>
          <w:szCs w:val="18"/>
          <w:lang w:val="en-US"/>
        </w:rPr>
        <w:t>Blood</w:t>
      </w:r>
      <w:r>
        <w:rPr>
          <w:sz w:val="18"/>
          <w:szCs w:val="18"/>
          <w:lang w:val="en-US"/>
        </w:rPr>
        <w:t>. 2018;131(17):1955–1959.</w:t>
      </w:r>
    </w:p>
    <w:p w14:paraId="04992F5B" w14:textId="77777777" w:rsidR="002D6F4E" w:rsidRPr="00DD4F1E" w:rsidRDefault="002D6F4E" w:rsidP="00D3731D">
      <w:pPr>
        <w:spacing w:after="100"/>
        <w:ind w:left="360" w:hanging="360"/>
        <w:jc w:val="both"/>
        <w:rPr>
          <w:lang w:val="en-US"/>
        </w:rPr>
      </w:pPr>
      <w:r>
        <w:rPr>
          <w:sz w:val="18"/>
          <w:szCs w:val="18"/>
          <w:lang w:val="en-US"/>
        </w:rPr>
        <w:lastRenderedPageBreak/>
        <w:t xml:space="preserve">12. Pleyer C, Ali MA, Cohen JI, et al. Effect of Bruton tyrosine kinase inhibitor on efficacy of adjuvanted recombinant hepatitis B and zoster vaccines. </w:t>
      </w:r>
      <w:r>
        <w:rPr>
          <w:i/>
          <w:iCs/>
          <w:sz w:val="18"/>
          <w:szCs w:val="18"/>
          <w:lang w:val="en-US"/>
        </w:rPr>
        <w:t>Blood</w:t>
      </w:r>
      <w:r>
        <w:rPr>
          <w:sz w:val="18"/>
          <w:szCs w:val="18"/>
          <w:lang w:val="en-US"/>
        </w:rPr>
        <w:t>. 2021;137(2):185–189.</w:t>
      </w:r>
    </w:p>
    <w:p w14:paraId="00000113" w14:textId="29291177" w:rsidR="00205D31" w:rsidRPr="004F4119" w:rsidRDefault="002D6F4E" w:rsidP="00D3731D">
      <w:pPr>
        <w:spacing w:after="100"/>
        <w:ind w:left="360" w:hanging="360"/>
        <w:jc w:val="both"/>
        <w:rPr>
          <w:lang w:val="es-VE"/>
        </w:rPr>
      </w:pPr>
      <w:r>
        <w:rPr>
          <w:sz w:val="18"/>
          <w:szCs w:val="18"/>
          <w:lang w:val="en-US"/>
        </w:rPr>
        <w:t xml:space="preserve">13. Parry H, McIlroy G, Bruton R, et al. Antibody responses after first and second COVID-19 vaccination in patients with chronic lymphocytic leukaemia. </w:t>
      </w:r>
      <w:r>
        <w:rPr>
          <w:i/>
          <w:iCs/>
          <w:sz w:val="18"/>
          <w:szCs w:val="18"/>
          <w:lang w:val="es-VE"/>
        </w:rPr>
        <w:t>Blood Cancer J</w:t>
      </w:r>
      <w:r>
        <w:rPr>
          <w:sz w:val="18"/>
          <w:szCs w:val="18"/>
          <w:lang w:val="es-VE"/>
        </w:rPr>
        <w:t>. 2021;11(11):188.</w:t>
      </w:r>
      <w:bookmarkStart w:id="36" w:name="_heading=h.dpdiiidi4x0t" w:colFirst="0" w:colLast="0"/>
      <w:bookmarkEnd w:id="36"/>
    </w:p>
    <w:p w14:paraId="00000114" w14:textId="278FCBBD" w:rsidR="00205D31" w:rsidRPr="000C6123" w:rsidRDefault="00000000" w:rsidP="000C6123">
      <w:pPr>
        <w:pStyle w:val="Ttulo2"/>
        <w:keepNext w:val="0"/>
        <w:keepLines w:val="0"/>
        <w:spacing w:after="80"/>
        <w:jc w:val="both"/>
        <w:rPr>
          <w:b/>
          <w:sz w:val="24"/>
          <w:szCs w:val="24"/>
        </w:rPr>
      </w:pPr>
      <w:bookmarkStart w:id="37" w:name="_heading=h.bcksfhp650e2" w:colFirst="0" w:colLast="0"/>
      <w:bookmarkEnd w:id="37"/>
      <w:r>
        <w:rPr>
          <w:b/>
          <w:sz w:val="24"/>
          <w:szCs w:val="24"/>
          <w:lang w:val="es-VE"/>
        </w:rPr>
        <w:t>8</w:t>
      </w:r>
      <w:r>
        <w:rPr>
          <w:b/>
          <w:sz w:val="24"/>
          <w:szCs w:val="24"/>
        </w:rPr>
        <w:t xml:space="preserve">. ESTRATEGIAS DE TRASPLANTE </w:t>
      </w:r>
    </w:p>
    <w:p w14:paraId="1368349B" w14:textId="5E564A89" w:rsidR="00410F52" w:rsidRPr="000C6123" w:rsidRDefault="00410F52" w:rsidP="000C6123">
      <w:pPr>
        <w:pStyle w:val="Ttulo2"/>
        <w:keepNext w:val="0"/>
        <w:keepLines w:val="0"/>
        <w:spacing w:after="80"/>
        <w:jc w:val="both"/>
        <w:rPr>
          <w:b/>
          <w:sz w:val="24"/>
          <w:szCs w:val="24"/>
        </w:rPr>
      </w:pPr>
      <w:r>
        <w:rPr>
          <w:b/>
          <w:sz w:val="24"/>
          <w:szCs w:val="24"/>
        </w:rPr>
        <w:t xml:space="preserve">Dr. </w:t>
      </w:r>
      <w:r>
        <w:rPr>
          <w:b/>
          <w:sz w:val="24"/>
          <w:szCs w:val="24"/>
          <w:lang w:val="es-VE"/>
        </w:rPr>
        <w:t>Juan</w:t>
      </w:r>
      <w:r>
        <w:rPr>
          <w:b/>
          <w:sz w:val="24"/>
          <w:szCs w:val="24"/>
        </w:rPr>
        <w:t xml:space="preserve"> Rangel (Colombia), Dr. Marcela Zamora (Ecuador), Dr. Cristobal Frutos (Paraguay) </w:t>
      </w:r>
    </w:p>
    <w:p w14:paraId="00000115" w14:textId="77777777" w:rsidR="00205D31" w:rsidRPr="000C6123" w:rsidRDefault="00000000" w:rsidP="00D3731D">
      <w:pPr>
        <w:pStyle w:val="Ttulo3"/>
        <w:keepNext w:val="0"/>
        <w:keepLines w:val="0"/>
        <w:spacing w:before="280"/>
        <w:jc w:val="both"/>
        <w:rPr>
          <w:b/>
          <w:color w:val="000000"/>
          <w:sz w:val="24"/>
          <w:szCs w:val="24"/>
        </w:rPr>
      </w:pPr>
      <w:bookmarkStart w:id="38" w:name="_heading=h.fyywtc70fqdw" w:colFirst="0" w:colLast="0"/>
      <w:bookmarkEnd w:id="38"/>
      <w:r>
        <w:rPr>
          <w:b/>
          <w:color w:val="000000"/>
          <w:sz w:val="24"/>
          <w:szCs w:val="24"/>
        </w:rPr>
        <w:t>8.1 ¿Vigencia del trasplante en era de terapias dirigidas?</w:t>
      </w:r>
    </w:p>
    <w:p w14:paraId="00000116" w14:textId="1479ADDE" w:rsidR="00205D31" w:rsidRDefault="00000000" w:rsidP="00D3731D">
      <w:pPr>
        <w:spacing w:before="240" w:after="240"/>
        <w:jc w:val="both"/>
        <w:rPr>
          <w:i/>
        </w:rPr>
      </w:pPr>
      <w:r>
        <w:rPr>
          <w:i/>
        </w:rPr>
        <w:t>SÍ, AUTO-TPH SIGUE VÁLIDO EN JÓVENES FIT PARTICULARMENTE SIN ACCESO A BTKi EN PRIMERA LÍNEA; TRIANGLE: IBRUTINIB PUEDE REEMPLAZAR AUTO-TPH EN BAJO-RIESGO, PERO EN LATAM CON ACCESO BTKi LIMITADO, EN AUSENCIA DE BTKI AUTO-TPH + RITUXIMAB CONTINÚA ÓPTIMO PARA MAYORÍA JÓVENES FIT.</w:t>
      </w:r>
    </w:p>
    <w:p w14:paraId="00000117" w14:textId="635D6262" w:rsidR="00205D31" w:rsidRDefault="00000000" w:rsidP="00D3731D">
      <w:pPr>
        <w:spacing w:before="240" w:after="240"/>
        <w:jc w:val="both"/>
      </w:pPr>
      <w:r>
        <w:rPr>
          <w:b/>
        </w:rPr>
        <w:t>Justificación</w:t>
      </w:r>
      <w:r>
        <w:t xml:space="preserve">: </w:t>
      </w:r>
      <w:r>
        <w:rPr>
          <w:sz w:val="20"/>
          <w:szCs w:val="20"/>
        </w:rPr>
        <w:t>TRIANGLE (870 pacientes): ibrutinib puede reemplazar auto-TPH en MIPI bajo-intermedio con supervivencia libre de fallo no inferior. Sin embargo, en LATAM acceso ibrutinib primera línea limitado (costos 5,000-8,000 USD/mes). Auto-TPH post-citarabina + mantenimiento rituximab mantiene rol crítico. EA4151: MRD-negativos pueden evitar auto-TPH, pero en ausencia de MRD de alta sensibilidad por NGS, trasplante permanece estrategia segura.</w:t>
      </w:r>
    </w:p>
    <w:p w14:paraId="00000118" w14:textId="1094350D" w:rsidR="00205D31" w:rsidRPr="00172E82" w:rsidRDefault="00000000" w:rsidP="00D3731D">
      <w:pPr>
        <w:spacing w:before="240" w:after="240"/>
        <w:jc w:val="both"/>
        <w:rPr>
          <w:sz w:val="20"/>
          <w:szCs w:val="20"/>
        </w:rPr>
      </w:pPr>
      <w:r>
        <w:rPr>
          <w:b/>
        </w:rPr>
        <w:t>Declaración (1B):</w:t>
      </w:r>
      <w:r>
        <w:t xml:space="preserve"> </w:t>
      </w:r>
      <w:r>
        <w:rPr>
          <w:sz w:val="20"/>
          <w:szCs w:val="20"/>
        </w:rPr>
        <w:t>Continuar auto-TPH como consolidación estándar en jóvenes fit (&lt;65-70 años) tras inducción con citarabina + mantenimiento rituximab, cuando el  acceso BTKi sea limitado; con acceso ibrutinib y MIPI bajo-intermedio, considerar ibrutinib + quimio sin trasplante (TRIANGLE); con MRD-negativo con metodologia de alta sensibilidad  NGS 10</w:t>
      </w:r>
      <w:r>
        <w:rPr>
          <w:sz w:val="20"/>
          <w:szCs w:val="20"/>
          <w:vertAlign w:val="superscript"/>
        </w:rPr>
        <w:t>6</w:t>
      </w:r>
      <w:r>
        <w:rPr>
          <w:sz w:val="20"/>
          <w:szCs w:val="20"/>
        </w:rPr>
        <w:t xml:space="preserve"> post-inducción, discutir evitar auto-TPH con rituximab+ IBTK; alto-riesgo considerar trasplante + mantenimiento con Rituximab y BTKi si accesible, Muy alto riesgo considerar IBTK continuo, dupletas en la posibilidad de LATAM,  estudios clinicos.</w:t>
      </w:r>
    </w:p>
    <w:p w14:paraId="769F2CB2" w14:textId="109A23B8" w:rsidR="0054415A" w:rsidRPr="000C6123" w:rsidRDefault="007F44CD" w:rsidP="00D3731D">
      <w:pPr>
        <w:spacing w:before="240" w:after="240"/>
        <w:jc w:val="both"/>
        <w:rPr>
          <w:sz w:val="21"/>
          <w:szCs w:val="21"/>
        </w:rPr>
      </w:pPr>
      <w:bookmarkStart w:id="39" w:name="_heading=h.y2may6w64rs8" w:colFirst="0" w:colLast="0"/>
      <w:bookmarkEnd w:id="39"/>
      <w:r>
        <w:rPr>
          <w:b/>
          <w:color w:val="000000"/>
          <w:sz w:val="24"/>
          <w:szCs w:val="24"/>
        </w:rPr>
        <w:t>8.2 ¿Rol en respuesta parcial por imágenes o PET positivo post-inducción?</w:t>
      </w:r>
    </w:p>
    <w:p w14:paraId="55F145B1" w14:textId="3AD8F188" w:rsidR="0054415A" w:rsidRPr="00172E82" w:rsidRDefault="0054415A" w:rsidP="00D3731D">
      <w:pPr>
        <w:spacing w:before="240" w:after="240"/>
        <w:jc w:val="both"/>
        <w:rPr>
          <w:i/>
          <w:iCs/>
        </w:rPr>
      </w:pPr>
      <w:r>
        <w:rPr>
          <w:i/>
          <w:iCs/>
        </w:rPr>
        <w:t>RESPUESTA PARCIAL CON REDUCCIÓN &gt;50% SIN PROGRESIÓN DEBE CONSIDERARSE PARA AUTO-TPH, DADO QUE EL TRASPLANTE PUEDE LOGRAR CONVERSIÓN A REMISIÓN COMPLETA EN UN SUBGRUPO RELEVANTE DE PACIENTES. EL PET POSITIVO POST-INDUCCIÓN (DEAUVILLE 4-5) REPRESENTA UN MARCADOR PRONÓSTICO ADVERSO, PERO NO CONSTITUYE UNA CONTRAINDICACIÓN ABSOLUTA AL TRASPLANTE. LA PROGRESIÓN FRANCA O RESPUESTA INSUFICIENTE (&lt;50%) REQUIERE TERAPIA DE RESCATE PREVIA, SIENDO LOS ESQUEMAS BASADOS EN CITARABINA Y PLATINO LOS PREFERIDOS EN ESTE CONTEXTO, CON R-DHAP COMO RÉGIMEN DE REFERENCIA Y R-ESHAP, R-BAC Y R-ICE COMO ALTERNATIVAS VÁLIDAS SEGÚN DISPONIBILIDAD Y EXPOSICIÓN PREVIA.</w:t>
      </w:r>
    </w:p>
    <w:p w14:paraId="66A41C60" w14:textId="42DC7626" w:rsidR="0054415A" w:rsidRPr="00172E82" w:rsidRDefault="0054415A" w:rsidP="00D3731D">
      <w:pPr>
        <w:spacing w:before="240" w:after="240"/>
        <w:jc w:val="both"/>
        <w:rPr>
          <w:sz w:val="20"/>
          <w:szCs w:val="20"/>
        </w:rPr>
      </w:pPr>
      <w:r>
        <w:rPr>
          <w:b/>
          <w:bCs/>
        </w:rPr>
        <w:t>Justificación:</w:t>
      </w:r>
      <w:r>
        <w:t xml:space="preserve"> </w:t>
      </w:r>
      <w:r>
        <w:rPr>
          <w:sz w:val="20"/>
          <w:szCs w:val="20"/>
        </w:rPr>
        <w:t xml:space="preserve">La decisión de proceder a auto-TPH ante una respuesta subóptima post-inducción representa uno de los dilemas clínicos más frecuentes en el manejo del LCM en pacientes jóvenes y aptos. El trasplante en respuesta parcial no debe considerarse un fracaso terapéutico, sino una estrategia de consolidación con potencial curativo: los datos del EBMT y series prospectivas </w:t>
      </w:r>
      <w:r>
        <w:rPr>
          <w:sz w:val="20"/>
          <w:szCs w:val="20"/>
        </w:rPr>
        <w:lastRenderedPageBreak/>
        <w:t>documentan conversión a remisión completa en 30-40% de los pacientes trasplantados en RP, con SLP a 5 años de 40-50%, inferior a la obtenida en remisión completa pero clínicamente significativa y superior a las alternativas no trasplante en este escenario.¹ Respecto al valor del PET en este contexto, el estudio LyMa demostró que los pacientes con PET positivo post-inducción (Deauville 4-5) aún derivaron beneficio clínico del auto-TPH seguido de rituximab de mantenimiento, con SLP a 4 años de 45% frente al 70% de los pacientes PET negativos; este hallazgo consolida la interpretación del PET positivo como indicador de peor pronóstico pero no como razón suficiente para negar el trasplante.² En el extremo opuesto del espectro de respuesta, la progresión franca o la respuesta insuficiente inferior al 50% constituyen escenarios en los que el auto-TPH directo carece de sustento y la demostración de quimiosensibilidad mediante rescate previo es imprescindible. En este contexto, los regímenes de rescate deben incluir esquemas intensivos basados en citarabina o platino, que han demostrado actividad específica en LCM.³˒⁴ R-DHAP (rituximab, dexametasona, citarabina en dosis altas, cisplatino o equivalente de platino) es el esquema de referencia en el contexto europeo, respaldado por tasas de respuesta global de 60-80% en enfermedad sensible y por su uso como plataforma de inducción en el propio estudio LyMa, lo que confirma su eficacia como puente al trasplante.² R-ESHAP (rituximab, etopósido, metilprednisolona, citarabina, cisplatino) y R-BAC (rituximab, bendamustina, citarabina) representan alternativas activas y bien documentadas en LCM refractario o en respuesta parcial, con perfiles de toxicidad manejables en pacientes seleccionados.³ R-ICE (rituximab, ifosfamida, carboplatino, etopósido) constituye una opción adicional con experiencia consolidada como puente a trasplante, particularmente en centros norteamericanos.³˒⁴ La elección entre estos regímenes debe individualizarse considerando la inducción previa recibida, la toxicidad acumulada, la disponibilidad local y la viabilidad de la colecta de células madre. En pacientes que recibieron BTKi durante la inducción y requieren rescate por respuesta insuficiente, la experiencia con estos regímenes en ese contexto específico es aún limitada y debe abordarse en el marco de protocolos clínicos o decisiones multidisciplinarias individualizadas.</w:t>
      </w:r>
    </w:p>
    <w:p w14:paraId="4C470900" w14:textId="1EAD6EBE" w:rsidR="0054415A" w:rsidRPr="00576B30" w:rsidRDefault="0054415A" w:rsidP="00D3731D">
      <w:pPr>
        <w:spacing w:before="240" w:after="240"/>
        <w:jc w:val="both"/>
      </w:pPr>
      <w:r>
        <w:rPr>
          <w:b/>
          <w:bCs/>
        </w:rPr>
        <w:t>Declaración (2B):</w:t>
      </w:r>
      <w:r>
        <w:t xml:space="preserve"> </w:t>
      </w:r>
      <w:r>
        <w:rPr>
          <w:sz w:val="20"/>
          <w:szCs w:val="20"/>
        </w:rPr>
        <w:t>Considerar auto-TPH en respuesta parcial con reducción &gt;50% y sin progresión, reconociendo su potencial de conversión a remisión completa como parte de la estrategia de consolidación.¹ Evaluar respuesta metabólica por PET cuando esté disponible, interpretando el PET positivo (Deauville 4-5) como marcador pronóstico adverso que no contraindica por sí solo el trasplante.² Ante progresión o respuesta insuficiente &lt;50%, indicar rescate previo con esquemas basados en citarabina o platino; R-DHAP constituye el régimen de referencia,²˒³ con R-ESHAP, R-BAC y R-ICE como alternativas según exposición previa y disponibilidad local.³˒⁴ En ausencia de PET, fundamentar la decisión en TC convencional y evaluación clínica integral.</w:t>
      </w:r>
    </w:p>
    <w:p w14:paraId="634811F9" w14:textId="2E4E9F55" w:rsidR="0054415A" w:rsidRPr="005D29C9" w:rsidRDefault="00576B30" w:rsidP="00D3731D">
      <w:pPr>
        <w:spacing w:before="60" w:after="60" w:line="260" w:lineRule="auto"/>
        <w:ind w:left="360" w:hanging="360"/>
        <w:jc w:val="both"/>
        <w:rPr>
          <w:b/>
          <w:bCs/>
          <w:color w:val="444444"/>
          <w:sz w:val="18"/>
          <w:szCs w:val="18"/>
          <w:lang w:val="en-US"/>
        </w:rPr>
      </w:pPr>
      <w:r>
        <w:rPr>
          <w:b/>
          <w:bCs/>
          <w:color w:val="444444"/>
          <w:sz w:val="18"/>
          <w:szCs w:val="18"/>
          <w:lang w:val="en-US"/>
        </w:rPr>
        <w:t>Bibliografia</w:t>
      </w:r>
    </w:p>
    <w:p w14:paraId="4A5E7A5A" w14:textId="2E4D01A1" w:rsidR="0054415A" w:rsidRPr="00576B30" w:rsidRDefault="0054415A" w:rsidP="00D3731D">
      <w:pPr>
        <w:spacing w:before="60" w:after="60" w:line="260" w:lineRule="auto"/>
        <w:ind w:left="360" w:hanging="360"/>
        <w:jc w:val="both"/>
        <w:rPr>
          <w:color w:val="444444"/>
          <w:sz w:val="18"/>
          <w:szCs w:val="18"/>
          <w:lang w:val="en-US"/>
        </w:rPr>
      </w:pPr>
      <w:r>
        <w:rPr>
          <w:color w:val="444444"/>
          <w:sz w:val="18"/>
          <w:szCs w:val="18"/>
          <w:lang w:val="en-US"/>
        </w:rPr>
        <w:t>¹ Dreyling M, Geisler C, Hermine O, et al. Newly diagnosed and relapsed mantle cell lymphoma: ESMO Clinical Practice Guidelines for diagnosis, treatment and follow-up. *Ann Oncol*. 2017;28(Suppl 4): iv62-iv71.</w:t>
      </w:r>
    </w:p>
    <w:p w14:paraId="07D2F4A4" w14:textId="33DC6FA3" w:rsidR="0054415A" w:rsidRPr="00576B30" w:rsidRDefault="0054415A" w:rsidP="00D3731D">
      <w:pPr>
        <w:spacing w:before="60" w:after="60" w:line="260" w:lineRule="auto"/>
        <w:ind w:left="360" w:hanging="360"/>
        <w:jc w:val="both"/>
        <w:rPr>
          <w:color w:val="444444"/>
          <w:sz w:val="18"/>
          <w:szCs w:val="18"/>
          <w:lang w:val="en-US"/>
        </w:rPr>
      </w:pPr>
      <w:r>
        <w:rPr>
          <w:color w:val="444444"/>
          <w:sz w:val="18"/>
          <w:szCs w:val="18"/>
          <w:lang w:val="en-US"/>
        </w:rPr>
        <w:t>² Le Gouill S, Thieblemont C, Oberic L, et al. Rituximab after autologous stem-cell transplantation in mantle-cell lymphoma. *N Engl J Med*. 2017;377(13):1250-1260.</w:t>
      </w:r>
    </w:p>
    <w:p w14:paraId="70F19259" w14:textId="0A35E58F" w:rsidR="0054415A" w:rsidRPr="00576B30" w:rsidRDefault="0054415A" w:rsidP="00D3731D">
      <w:pPr>
        <w:spacing w:before="60" w:after="60" w:line="260" w:lineRule="auto"/>
        <w:ind w:left="360" w:hanging="360"/>
        <w:jc w:val="both"/>
        <w:rPr>
          <w:color w:val="444444"/>
          <w:sz w:val="18"/>
          <w:szCs w:val="18"/>
          <w:lang w:val="en-US"/>
        </w:rPr>
      </w:pPr>
      <w:r>
        <w:rPr>
          <w:color w:val="444444"/>
          <w:sz w:val="18"/>
          <w:szCs w:val="18"/>
          <w:lang w:val="en-US"/>
        </w:rPr>
        <w:t>³ Bond DA, Blum KA, Maddocks K. Management of relapsed and refractory mantle cell lymphoma: a review of current evidence and future directions for research. *Ann Lymphoma*. 2017; 1:6.</w:t>
      </w:r>
    </w:p>
    <w:p w14:paraId="79E1E2A4" w14:textId="0FBBAC5F" w:rsidR="0054415A" w:rsidRPr="004E32F5" w:rsidRDefault="0054415A" w:rsidP="00D3731D">
      <w:pPr>
        <w:spacing w:before="60" w:after="60" w:line="260" w:lineRule="auto"/>
        <w:ind w:left="360" w:hanging="360"/>
        <w:jc w:val="both"/>
        <w:rPr>
          <w:color w:val="444444"/>
          <w:sz w:val="18"/>
          <w:szCs w:val="18"/>
          <w:lang w:val="es-VE"/>
        </w:rPr>
      </w:pPr>
      <w:r>
        <w:rPr>
          <w:color w:val="444444"/>
          <w:sz w:val="18"/>
          <w:szCs w:val="18"/>
          <w:lang w:val="en-US"/>
        </w:rPr>
        <w:t xml:space="preserve">⁴ Kumar A, Eyre TA, Lewis KL, Thompson MC, Cheah CY. New directions for mantle cell lymphoma in 2022. </w:t>
      </w:r>
      <w:r>
        <w:rPr>
          <w:color w:val="444444"/>
          <w:sz w:val="18"/>
          <w:szCs w:val="18"/>
          <w:lang w:val="es-VE"/>
        </w:rPr>
        <w:t>*Am Soc Clin Oncol Educ Book*. 2022; 42:1-15.</w:t>
      </w:r>
    </w:p>
    <w:p w14:paraId="0000011D" w14:textId="77777777" w:rsidR="00205D31" w:rsidRPr="000C6123" w:rsidRDefault="00000000" w:rsidP="00D3731D">
      <w:pPr>
        <w:pStyle w:val="Ttulo3"/>
        <w:keepNext w:val="0"/>
        <w:keepLines w:val="0"/>
        <w:spacing w:before="280"/>
        <w:jc w:val="both"/>
        <w:rPr>
          <w:b/>
          <w:color w:val="000000"/>
          <w:sz w:val="24"/>
          <w:szCs w:val="24"/>
        </w:rPr>
      </w:pPr>
      <w:bookmarkStart w:id="40" w:name="_heading=h.fbt5trltkki9" w:colFirst="0" w:colLast="0"/>
      <w:bookmarkEnd w:id="40"/>
      <w:r>
        <w:rPr>
          <w:b/>
          <w:color w:val="000000"/>
          <w:sz w:val="24"/>
          <w:szCs w:val="24"/>
        </w:rPr>
        <w:t>8.3 ¿Regímenes de acondicionamiento recomendados en LATAM?</w:t>
      </w:r>
    </w:p>
    <w:p w14:paraId="0000011E" w14:textId="77777777" w:rsidR="00205D31" w:rsidRDefault="00000000" w:rsidP="00D3731D">
      <w:pPr>
        <w:spacing w:before="240" w:after="240"/>
        <w:jc w:val="both"/>
        <w:rPr>
          <w:i/>
        </w:rPr>
      </w:pPr>
      <w:r>
        <w:rPr>
          <w:i/>
        </w:rPr>
        <w:t>BEAM (CARMUSTINA, ETOPÓSIDO, CITARABINA, MELFALÁN) ESTÁNDAR MÁS VALIDADO; ALTERNATIVAS BEAC (BENDAMUSTINA EN LUGAR DE CARMUSTINA), BuCy O BuCyE CUANDO CARMUSTINA NO DISPONIBLE; NO HAY SUPERIORIDAD DEMOSTRADA ENTRE REGÍMENES; SELECCIÓN SEGÚN DISPONIBILIDAD, COMORBILIDADES Y EXPERTICIA</w:t>
      </w:r>
    </w:p>
    <w:p w14:paraId="0000011F" w14:textId="7E7E27D1" w:rsidR="00205D31" w:rsidRDefault="00000000" w:rsidP="00D3731D">
      <w:pPr>
        <w:spacing w:before="240" w:after="240"/>
        <w:jc w:val="both"/>
      </w:pPr>
      <w:r>
        <w:rPr>
          <w:b/>
        </w:rPr>
        <w:lastRenderedPageBreak/>
        <w:t>Justificación</w:t>
      </w:r>
      <w:r>
        <w:t xml:space="preserve">:  </w:t>
      </w:r>
      <w:r>
        <w:rPr>
          <w:sz w:val="20"/>
          <w:szCs w:val="20"/>
        </w:rPr>
        <w:t>BEAM más ampliamente utilizado con remisión completa 85-90% y mortalidad &lt;5% en centros experimentados. Carmustina puede causar toxicidad pulmonar y tiene problemas disponibilidad. BeEAC (bendamustina sustituyendo carmustina 160-200 mg/m²) emerge como alternativa efectiva con menor toxicidad pulmonar potencial. BuCy/BuCyE alternativas validadas. No hay estudios prospectivos comparativos en LCM; revisión sistemática sin diferencias significativas en supervivencia.</w:t>
      </w:r>
    </w:p>
    <w:p w14:paraId="00000120" w14:textId="48CA70FD" w:rsidR="00205D31" w:rsidRDefault="00000000" w:rsidP="00D3731D">
      <w:pPr>
        <w:spacing w:before="240" w:after="240"/>
        <w:jc w:val="both"/>
      </w:pPr>
      <w:r>
        <w:rPr>
          <w:b/>
        </w:rPr>
        <w:t>Declaración (2B):</w:t>
      </w:r>
      <w:r>
        <w:t xml:space="preserve"> </w:t>
      </w:r>
      <w:r>
        <w:rPr>
          <w:sz w:val="20"/>
          <w:szCs w:val="20"/>
        </w:rPr>
        <w:t>Usar BEAM como estándar cuando carmustina disponible y sin contraindicaciones (edad avanzada, bleomicina previa, enfermedad pulmonar); considerar BeEAC como alternativa preferida sin carmustina o con contraindicaciones; BuCy/BuCyE alternativas en centros con experiencia; individualizar según disponibilidad fármacos, comorbilidades (pulmonares, hepáticas, renales), edad y expertise; asegurar dosis apropiadas, soporte adecuado y mantenimiento rituximab temprano.</w:t>
      </w:r>
    </w:p>
    <w:p w14:paraId="5A8CF6B7" w14:textId="613E20D8" w:rsidR="00576B30" w:rsidRPr="000C6123" w:rsidRDefault="00000000" w:rsidP="00D3731D">
      <w:pPr>
        <w:pStyle w:val="Ttulo3"/>
        <w:keepNext w:val="0"/>
        <w:keepLines w:val="0"/>
        <w:spacing w:before="280"/>
        <w:jc w:val="both"/>
        <w:rPr>
          <w:b/>
          <w:color w:val="000000"/>
          <w:sz w:val="24"/>
          <w:szCs w:val="24"/>
        </w:rPr>
      </w:pPr>
      <w:bookmarkStart w:id="41" w:name="_heading=h.u55q4bulnq48" w:colFirst="0" w:colLast="0"/>
      <w:bookmarkEnd w:id="41"/>
      <w:r>
        <w:rPr>
          <w:b/>
          <w:color w:val="000000"/>
          <w:sz w:val="24"/>
          <w:szCs w:val="24"/>
        </w:rPr>
        <w:t>8.4 ¿Rol del trasplante alogénico?</w:t>
      </w:r>
    </w:p>
    <w:p w14:paraId="6CE1B0E8" w14:textId="77777777" w:rsidR="00576B30" w:rsidRPr="00172E82" w:rsidRDefault="00576B30" w:rsidP="00D3731D">
      <w:pPr>
        <w:jc w:val="both"/>
        <w:rPr>
          <w:i/>
          <w:iCs/>
        </w:rPr>
      </w:pPr>
      <w:r>
        <w:rPr>
          <w:i/>
          <w:iCs/>
        </w:rPr>
        <w:t>EL TRASPLANTE ALOGÉNICO NO CONSTITUYE UNA ESTRATEGIA ESTÁNDAR DE PRIMERA LÍNEA NI DE CONSOLIDACIÓN INICIAL EN LCM. SU ROL SE RESERVA PARA ESCENARIOS SELECCIONADOS: RECAÍDA POST-AUTO-TPH EN PACIENTES JÓVENES CON DONADOR HLA COMPATIBLE, ENFERMEDAD REFRACTARIA PRIMARIA O DE ALTO RIESGO EN QUIENES LAS ALTERNATIVAS DISPONIBLES HAN FRACASADO O NO ESTÁN DISPONIBLES, Y REFRACTARIEDAD A MÚLTIPLES LÍNEAS. EN CENTROS CON ACCESO A CAR-T Y BTKi, SU INDICACIÓN SE HA REDUCIDO A MENOS DEL 5% DE LOS PACIENTES. EN LATINOAMÉRICA, DONDE CAR-T, ENSAYOS CLÍNICOS Y COMBINACIONES NOVEDOSAS SON DE ACCESO EXCEPCIONAL O NULO, EL TRASPLANTE ALOGÉNICO REPRESENTA UNA OPCIÓN DE RESCATE RELEVANTE CON POTENCIAL CURATIVO EN CENTROS CON EXPERIENCIA, SIEMPRE QUE EL PACIENTE SEA JOVEN, TENGA BUENA CONDICIÓN FÍSICA Y SE LOGRE RESPUESTA PREVIA AL TRASPLANTE.</w:t>
      </w:r>
    </w:p>
    <w:p w14:paraId="294C99BC" w14:textId="77777777" w:rsidR="00576B30" w:rsidRDefault="00576B30" w:rsidP="00D3731D">
      <w:pPr>
        <w:jc w:val="both"/>
      </w:pPr>
    </w:p>
    <w:p w14:paraId="7AB298E3" w14:textId="195D81B0" w:rsidR="00576B30" w:rsidRDefault="00576B30" w:rsidP="00D3731D">
      <w:pPr>
        <w:jc w:val="both"/>
      </w:pPr>
      <w:r>
        <w:rPr>
          <w:b/>
          <w:bCs/>
        </w:rPr>
        <w:t>Justificación</w:t>
      </w:r>
      <w:r>
        <w:t xml:space="preserve">:  </w:t>
      </w:r>
      <w:r>
        <w:rPr>
          <w:sz w:val="20"/>
          <w:szCs w:val="20"/>
        </w:rPr>
        <w:t>El trasplante alogénico es la única modalidad con efecto injerto-versus-linfoma (GVL) demostrado en LCM, confiriéndole potencial curativo a costa de una mortalidad relacionada al trasplante del 15-25% y EICH crónica extensa en más del 40% de los casos.¹ Los datos del EBMT con RIC-alo-TPH documentan SLP a 3 años del 43% y SG del 58%, con la quimiosensibilidad pretrasplante como factor pronóstico determinante: pacientes en refractariedad franca alcanzan SLP de 0% a 3 años, lo que hace de la respuesta previa una condición imprescindible, no opcional.¹˒² En el escenario de enfermedad de alto riesgo biológico —mutación TP53, histología blástica, Ki67 elevado, o falla en lograr respuesta profunda post-inducción intensiva— el consenso EBMT/EMCL y las recomendaciones conjuntas ASTCT/CIBMTR/EBMT identifican al alo-TPH como opción a considerar de forma individualizada en pacientes jóvenes y aptos, reconociendo la ausencia de evidencia aleatorizada en este contexto específico.³˒⁴ La llegada del CAR-T (ZUMA-2: respuesta global</w:t>
      </w:r>
      <w:r>
        <w:t xml:space="preserve"> </w:t>
      </w:r>
      <w:r>
        <w:rPr>
          <w:sz w:val="20"/>
          <w:szCs w:val="20"/>
        </w:rPr>
        <w:t>91%, RC 68% en LCM recaído/refractario con BTKi previo) ha desplazado al alo-TPH a un rol residual en los centros con acceso a terapias celulares.⁵ En LATAM, donde esta opción es prácticamente inexistente fuera de iniciativas excepcionales, el alo-TPH recupera su relevancia: la supervivencia mediana tras recaída post-auto-TPH sin CAR-T ni BTKi en combinación es de apenas 19 meses,¹ lo que hace proporcional asumir el riesgo del procedimiento cuando existe donador, respuesta al rescate y capacidad institucional. El acondicionamiento de intensidad reducida es el preferido en la mayoría de los adultos; la planificación prospectiva de DLI ante MRD positiva post-trasplante debe considerarse en centros con dicha capacidad. ³</w:t>
      </w:r>
    </w:p>
    <w:p w14:paraId="30A02345" w14:textId="77777777" w:rsidR="00576B30" w:rsidRDefault="00576B30" w:rsidP="00D3731D">
      <w:pPr>
        <w:jc w:val="both"/>
      </w:pPr>
    </w:p>
    <w:p w14:paraId="0A75C9A3" w14:textId="3345065E" w:rsidR="00576B30" w:rsidRDefault="00576B30" w:rsidP="00D3731D">
      <w:pPr>
        <w:jc w:val="both"/>
      </w:pPr>
      <w:r>
        <w:rPr>
          <w:b/>
          <w:bCs/>
        </w:rPr>
        <w:lastRenderedPageBreak/>
        <w:t xml:space="preserve">Declaración (2C): </w:t>
      </w:r>
      <w:r>
        <w:rPr>
          <w:sz w:val="20"/>
          <w:szCs w:val="20"/>
        </w:rPr>
        <w:t>No indicar alo-TPH como consolidación de primera línea salvo en contexto de alto riesgo biológico muy seleccionado y en decisión multidisciplinaria.³˒⁴ Considerar RIC-alo-TPH en recaída post-auto-TPH en pacientes jóvenes con donador compatible, al menos en respuesta parcial al rescate, cuando CAR-T y otras opciones de alta eficacia no estén disponibles o hayan fallado.¹˒² En LATAM, mantener el alo-TPH como opción de rescate activa en centros con experiencia, ponderando el perfil de riesgo individual y la ausencia real de alternativas.³ Planificar DLI ante recaída molecular o MRD positiva post-alo-TPH cuando el centro lo permita.³ Anticipar reducción progresiva de sus indicaciones con la expansión futura del acceso a CAR-T en la región.⁵</w:t>
      </w:r>
    </w:p>
    <w:p w14:paraId="77717136" w14:textId="77777777" w:rsidR="00576B30" w:rsidRDefault="00576B30" w:rsidP="00D3731D">
      <w:pPr>
        <w:jc w:val="both"/>
      </w:pPr>
    </w:p>
    <w:p w14:paraId="692070A8" w14:textId="398542AE" w:rsidR="00576B30" w:rsidRPr="008977FB" w:rsidRDefault="00576B30" w:rsidP="00D3731D">
      <w:pPr>
        <w:spacing w:before="60" w:after="60" w:line="260" w:lineRule="auto"/>
        <w:ind w:left="360" w:hanging="360"/>
        <w:jc w:val="both"/>
        <w:rPr>
          <w:b/>
          <w:bCs/>
          <w:color w:val="444444"/>
          <w:sz w:val="18"/>
          <w:szCs w:val="18"/>
          <w:lang w:val="es-VE"/>
        </w:rPr>
      </w:pPr>
      <w:r>
        <w:rPr>
          <w:b/>
          <w:bCs/>
          <w:color w:val="444444"/>
          <w:sz w:val="18"/>
          <w:szCs w:val="18"/>
          <w:lang w:val="es-VE"/>
        </w:rPr>
        <w:t xml:space="preserve">Bibliografia </w:t>
      </w:r>
    </w:p>
    <w:p w14:paraId="2DB65065" w14:textId="2B67D673" w:rsidR="00576B30" w:rsidRPr="004F4119" w:rsidRDefault="00576B30" w:rsidP="00D3731D">
      <w:pPr>
        <w:spacing w:before="60" w:after="60" w:line="260" w:lineRule="auto"/>
        <w:ind w:left="360" w:hanging="360"/>
        <w:jc w:val="both"/>
        <w:rPr>
          <w:color w:val="444444"/>
          <w:sz w:val="18"/>
          <w:szCs w:val="18"/>
          <w:lang w:val="en-US"/>
        </w:rPr>
      </w:pPr>
      <w:r>
        <w:rPr>
          <w:b/>
          <w:bCs/>
          <w:color w:val="444444"/>
          <w:sz w:val="18"/>
          <w:szCs w:val="18"/>
          <w:lang w:val="es-VE"/>
        </w:rPr>
        <w:t xml:space="preserve">¹ </w:t>
      </w:r>
      <w:r>
        <w:rPr>
          <w:color w:val="444444"/>
          <w:sz w:val="18"/>
          <w:szCs w:val="18"/>
          <w:lang w:val="es-VE"/>
        </w:rPr>
        <w:t xml:space="preserve">Robinson SP, Boumendil A, Finel H, et al. </w:t>
      </w:r>
      <w:r>
        <w:rPr>
          <w:color w:val="444444"/>
          <w:sz w:val="18"/>
          <w:szCs w:val="18"/>
          <w:lang w:val="en-US"/>
        </w:rPr>
        <w:t>Long-term outcome analysis of reduced-intensity allogeneic stem cell transplantation in patients with mantle cell lymphoma: a retrospective study from the EBMT Lymphoma Working Party. Bone Marrow Transplant 2018; 53:617-624.</w:t>
      </w:r>
    </w:p>
    <w:p w14:paraId="481C7843" w14:textId="080724F9" w:rsidR="00576B30" w:rsidRPr="004F4119" w:rsidRDefault="00576B30" w:rsidP="00D3731D">
      <w:pPr>
        <w:spacing w:before="60" w:after="60" w:line="260" w:lineRule="auto"/>
        <w:ind w:left="360" w:hanging="360"/>
        <w:jc w:val="both"/>
        <w:rPr>
          <w:color w:val="444444"/>
          <w:sz w:val="18"/>
          <w:szCs w:val="18"/>
          <w:lang w:val="en-US"/>
        </w:rPr>
      </w:pPr>
      <w:r>
        <w:rPr>
          <w:color w:val="444444"/>
          <w:sz w:val="18"/>
          <w:szCs w:val="18"/>
          <w:lang w:val="en-US"/>
        </w:rPr>
        <w:t>² Cook G, Smith GM, Kirkland K, et al. Outcome following reduced-intensity allogeneic stem cell transplantation (RIC AlloSCT) for relapsed and refractory mantle cell lymphoma (MCL): a study of the BSBMT. *Biol Blood Marrow Transplant*. 2010; 16:1419-1427.</w:t>
      </w:r>
    </w:p>
    <w:p w14:paraId="00F87BDD" w14:textId="7CC8982D" w:rsidR="00576B30" w:rsidRPr="004F4119" w:rsidRDefault="00576B30" w:rsidP="00D3731D">
      <w:pPr>
        <w:spacing w:before="60" w:after="60" w:line="260" w:lineRule="auto"/>
        <w:ind w:left="360" w:hanging="360"/>
        <w:jc w:val="both"/>
        <w:rPr>
          <w:color w:val="444444"/>
          <w:sz w:val="18"/>
          <w:szCs w:val="18"/>
          <w:lang w:val="en-US"/>
        </w:rPr>
      </w:pPr>
      <w:r>
        <w:rPr>
          <w:color w:val="444444"/>
          <w:sz w:val="18"/>
          <w:szCs w:val="18"/>
          <w:lang w:val="en-US"/>
        </w:rPr>
        <w:t>³ Robinson S, Dreger P, Caballero D, et al. The EBMT/EMCL consensus project on the role of autologous and allogeneic stem cell transplantation in mantle cell lymphoma. Leukemia 2015; 29:464-473.</w:t>
      </w:r>
    </w:p>
    <w:p w14:paraId="4399E08E" w14:textId="3682ECBC" w:rsidR="00576B30" w:rsidRPr="004F4119" w:rsidRDefault="00576B30" w:rsidP="00D3731D">
      <w:pPr>
        <w:spacing w:before="60" w:after="60" w:line="260" w:lineRule="auto"/>
        <w:ind w:left="360" w:hanging="360"/>
        <w:jc w:val="both"/>
        <w:rPr>
          <w:color w:val="444444"/>
          <w:sz w:val="18"/>
          <w:szCs w:val="18"/>
          <w:lang w:val="en-US"/>
        </w:rPr>
      </w:pPr>
      <w:r>
        <w:rPr>
          <w:color w:val="444444"/>
          <w:sz w:val="18"/>
          <w:szCs w:val="18"/>
          <w:lang w:val="en-US"/>
        </w:rPr>
        <w:t>⁴ Munshi PN, Hamadani M, Kumar A, et al. ASTCT, CIBMTR, and EBMT clinical practice recommendations for transplant and cellular therapies in mantle cell lymphoma. Bone Marrow Transplant*. 2021; 56:2911-2921.</w:t>
      </w:r>
    </w:p>
    <w:p w14:paraId="06447C0A" w14:textId="18D90AE8" w:rsidR="00576B30" w:rsidRPr="008977FB" w:rsidRDefault="00576B30" w:rsidP="00D3731D">
      <w:pPr>
        <w:spacing w:before="60" w:after="60" w:line="260" w:lineRule="auto"/>
        <w:ind w:left="360" w:hanging="360"/>
        <w:jc w:val="both"/>
        <w:rPr>
          <w:color w:val="444444"/>
          <w:sz w:val="18"/>
          <w:szCs w:val="18"/>
          <w:lang w:val="es-VE"/>
        </w:rPr>
      </w:pPr>
      <w:r>
        <w:rPr>
          <w:color w:val="444444"/>
          <w:sz w:val="18"/>
          <w:szCs w:val="18"/>
          <w:lang w:val="en-US"/>
        </w:rPr>
        <w:t xml:space="preserve">⁵ Dreger P, Dietrich S, Baermann BN. Mantle cell lymphoma. In: Sureda A et al., eds. The EBMT Handbook* 8th ed. </w:t>
      </w:r>
      <w:r>
        <w:rPr>
          <w:color w:val="444444"/>
          <w:sz w:val="18"/>
          <w:szCs w:val="18"/>
          <w:lang w:val="es-VE"/>
        </w:rPr>
        <w:t>Springer; 2024. Chapter 87.</w:t>
      </w:r>
    </w:p>
    <w:p w14:paraId="00000134" w14:textId="77777777" w:rsidR="00205D31" w:rsidRPr="004F4119" w:rsidRDefault="00000000" w:rsidP="000C6123">
      <w:pPr>
        <w:pStyle w:val="Ttulo2"/>
        <w:keepNext w:val="0"/>
        <w:keepLines w:val="0"/>
        <w:spacing w:after="80"/>
        <w:jc w:val="both"/>
        <w:rPr>
          <w:b/>
          <w:sz w:val="24"/>
          <w:szCs w:val="24"/>
          <w:lang w:val="es-VE"/>
        </w:rPr>
      </w:pPr>
      <w:bookmarkStart w:id="42" w:name="_heading=h.ykvjfyzcb1nl" w:colFirst="0" w:colLast="0"/>
      <w:bookmarkEnd w:id="42"/>
      <w:r>
        <w:rPr>
          <w:b/>
          <w:sz w:val="24"/>
          <w:szCs w:val="24"/>
          <w:lang w:val="es-VE"/>
        </w:rPr>
        <w:t>9. MONITORIZACIÓN DE MRD/ERM</w:t>
      </w:r>
    </w:p>
    <w:p w14:paraId="00000135" w14:textId="1DFFED5B" w:rsidR="00205D31" w:rsidRPr="000C6123" w:rsidRDefault="00000000" w:rsidP="000C6123">
      <w:pPr>
        <w:pStyle w:val="Ttulo2"/>
        <w:keepNext w:val="0"/>
        <w:keepLines w:val="0"/>
        <w:spacing w:after="80"/>
        <w:jc w:val="both"/>
        <w:rPr>
          <w:b/>
          <w:sz w:val="24"/>
          <w:szCs w:val="24"/>
          <w:lang w:val="es-VE"/>
        </w:rPr>
      </w:pPr>
      <w:r>
        <w:rPr>
          <w:b/>
          <w:sz w:val="24"/>
          <w:szCs w:val="24"/>
          <w:lang w:val="es-VE"/>
        </w:rPr>
        <w:t>Dra. Nancy Cristaldo (Argentina), Dr. Luis Villela (Mexico),Dr. Juan Esteban García (Colombia)</w:t>
      </w:r>
    </w:p>
    <w:p w14:paraId="2A30EEB2" w14:textId="77777777" w:rsidR="005D29C9" w:rsidRPr="000C6123" w:rsidRDefault="005D29C9" w:rsidP="00D3731D">
      <w:pPr>
        <w:spacing w:before="280" w:after="140"/>
        <w:jc w:val="both"/>
        <w:rPr>
          <w:sz w:val="24"/>
          <w:szCs w:val="24"/>
        </w:rPr>
      </w:pPr>
      <w:bookmarkStart w:id="43" w:name="_heading=h.54e0w84xpp20" w:colFirst="0" w:colLast="0"/>
      <w:bookmarkEnd w:id="43"/>
      <w:r>
        <w:rPr>
          <w:b/>
          <w:bCs/>
          <w:sz w:val="24"/>
          <w:szCs w:val="24"/>
        </w:rPr>
        <w:t>9.1 ¿Cuándo monitorizar MRD y debe guiar modificaciones de inducción?</w:t>
      </w:r>
    </w:p>
    <w:p w14:paraId="3241F4C9" w14:textId="77777777" w:rsidR="005D29C9" w:rsidRPr="00172E82" w:rsidRDefault="005D29C9" w:rsidP="00D3731D">
      <w:pPr>
        <w:spacing w:after="140"/>
        <w:jc w:val="both"/>
        <w:rPr>
          <w:i/>
          <w:iCs/>
        </w:rPr>
      </w:pPr>
      <w:r>
        <w:rPr>
          <w:i/>
          <w:iCs/>
        </w:rPr>
        <w:t>MRD ES UN BIOMARCADOR PRONÓSTICO ROBUSTO, PERO NO DEBE GUIAR RUTINARIAMENTE MODIFICACIONES DE INDUCCIÓN FUERA DE ENSAYOS;</w:t>
      </w:r>
      <w:r>
        <w:rPr>
          <w:i/>
          <w:iCs/>
          <w:vertAlign w:val="superscript"/>
        </w:rPr>
        <w:t>1,2</w:t>
      </w:r>
      <w:r>
        <w:rPr>
          <w:i/>
          <w:iCs/>
        </w:rPr>
        <w:t xml:space="preserve"> INDUCCIÓN DEBE ESTANDARIZARSE SEGÚN FACTORES BASALES (MIPI, TP53, Ki-67); MONITORIZACIÓN TIENE VALOR POST-INDUCCIÓN (ESPECIALMENTE TRAS 4 CICLOS</w:t>
      </w:r>
      <w:r>
        <w:rPr>
          <w:i/>
          <w:iCs/>
          <w:vertAlign w:val="superscript"/>
        </w:rPr>
        <w:t>2,10</w:t>
      </w:r>
      <w:r>
        <w:rPr>
          <w:i/>
          <w:iCs/>
        </w:rPr>
        <w:t>) Y POST-TRASPLANTE (6-12 MESES).</w:t>
      </w:r>
      <w:r>
        <w:rPr>
          <w:i/>
          <w:iCs/>
          <w:vertAlign w:val="superscript"/>
        </w:rPr>
        <w:t>11</w:t>
      </w:r>
    </w:p>
    <w:p w14:paraId="27589FDC" w14:textId="4A0CC106" w:rsidR="005D29C9" w:rsidRDefault="005D29C9" w:rsidP="00D3731D">
      <w:pPr>
        <w:spacing w:after="140"/>
        <w:jc w:val="both"/>
      </w:pPr>
      <w:r>
        <w:rPr>
          <w:b/>
          <w:bCs/>
        </w:rPr>
        <w:t xml:space="preserve">Justificación:  </w:t>
      </w:r>
      <w:r>
        <w:rPr>
          <w:sz w:val="20"/>
          <w:szCs w:val="20"/>
        </w:rPr>
        <w:t>Un metaanálisis de 1.019 pacientes demostró que la MRD positiva aumenta el riesgo de progresión (HR 2.40 post-inducción, HR 2.65 post-consolidación) y de muerte (HR 2.38).</w:t>
      </w:r>
      <w:r>
        <w:rPr>
          <w:sz w:val="16"/>
          <w:szCs w:val="16"/>
          <w:vertAlign w:val="superscript"/>
        </w:rPr>
        <w:t>1</w:t>
      </w:r>
      <w:r>
        <w:rPr>
          <w:sz w:val="20"/>
          <w:szCs w:val="20"/>
        </w:rPr>
        <w:t xml:space="preserve"> La evaluación tras 4 ciclos tiene el mejor poder predictivo (HR 3.2).</w:t>
      </w:r>
      <w:r>
        <w:rPr>
          <w:sz w:val="16"/>
          <w:szCs w:val="16"/>
          <w:vertAlign w:val="superscript"/>
        </w:rPr>
        <w:t>2</w:t>
      </w:r>
      <w:r>
        <w:rPr>
          <w:sz w:val="20"/>
          <w:szCs w:val="20"/>
        </w:rPr>
        <w:t xml:space="preserve"> Sin embargo, MRD es un marcador pronóstico, no predictivo; no existe evidencia de que modificar la inducción basada en MRD mejore los resultados;</w:t>
      </w:r>
      <w:r>
        <w:rPr>
          <w:sz w:val="16"/>
          <w:szCs w:val="16"/>
          <w:vertAlign w:val="superscript"/>
        </w:rPr>
        <w:t>1,3</w:t>
      </w:r>
      <w:r>
        <w:rPr>
          <w:sz w:val="20"/>
          <w:szCs w:val="20"/>
        </w:rPr>
        <w:t xml:space="preserve"> la falta de estandarización y los costos limitan la aplicabilidad en LATAM.</w:t>
      </w:r>
      <w:r>
        <w:rPr>
          <w:sz w:val="16"/>
          <w:szCs w:val="16"/>
          <w:vertAlign w:val="superscript"/>
        </w:rPr>
        <w:t>4,5</w:t>
      </w:r>
    </w:p>
    <w:p w14:paraId="0DF9706D" w14:textId="6655F24C" w:rsidR="005D29C9" w:rsidRDefault="005D29C9" w:rsidP="00D3731D">
      <w:pPr>
        <w:spacing w:after="200"/>
        <w:jc w:val="both"/>
      </w:pPr>
      <w:r>
        <w:rPr>
          <w:b/>
          <w:bCs/>
        </w:rPr>
        <w:t xml:space="preserve">Declaración (2C): </w:t>
      </w:r>
      <w:r>
        <w:rPr>
          <w:sz w:val="20"/>
          <w:szCs w:val="20"/>
        </w:rPr>
        <w:t>No usar MRD para modificar la inducción rutinariamente; estratificar por factores basales establecidos; considerar monitorización post-inducción (tras 4 ciclos</w:t>
      </w:r>
      <w:r>
        <w:rPr>
          <w:sz w:val="16"/>
          <w:szCs w:val="16"/>
          <w:vertAlign w:val="superscript"/>
        </w:rPr>
        <w:t>2</w:t>
      </w:r>
      <w:r>
        <w:rPr>
          <w:sz w:val="20"/>
          <w:szCs w:val="20"/>
        </w:rPr>
        <w:t>), post-trasplante (6–12 meses</w:t>
      </w:r>
      <w:r>
        <w:rPr>
          <w:sz w:val="16"/>
          <w:szCs w:val="16"/>
          <w:vertAlign w:val="superscript"/>
        </w:rPr>
        <w:t>11</w:t>
      </w:r>
      <w:r>
        <w:rPr>
          <w:sz w:val="20"/>
          <w:szCs w:val="20"/>
        </w:rPr>
        <w:t>), y seguimiento en centros con técnicas estandarizadas;</w:t>
      </w:r>
      <w:r>
        <w:rPr>
          <w:sz w:val="16"/>
          <w:szCs w:val="16"/>
          <w:vertAlign w:val="superscript"/>
        </w:rPr>
        <w:t>4</w:t>
      </w:r>
      <w:r>
        <w:rPr>
          <w:sz w:val="20"/>
          <w:szCs w:val="20"/>
        </w:rPr>
        <w:t xml:space="preserve"> usar MRD para identificar alto riesgo en protocolos de investigación.</w:t>
      </w:r>
      <w:r>
        <w:rPr>
          <w:sz w:val="16"/>
          <w:szCs w:val="16"/>
          <w:vertAlign w:val="superscript"/>
        </w:rPr>
        <w:t>6,7</w:t>
      </w:r>
    </w:p>
    <w:p w14:paraId="355AAD3C" w14:textId="77777777" w:rsidR="005D29C9" w:rsidRPr="000C6123" w:rsidRDefault="005D29C9" w:rsidP="00D3731D">
      <w:pPr>
        <w:spacing w:before="280" w:after="140"/>
        <w:jc w:val="both"/>
        <w:rPr>
          <w:sz w:val="32"/>
          <w:szCs w:val="32"/>
        </w:rPr>
      </w:pPr>
      <w:r>
        <w:rPr>
          <w:b/>
          <w:bCs/>
          <w:sz w:val="24"/>
          <w:szCs w:val="24"/>
        </w:rPr>
        <w:t>9.2 ¿Qué método se recomienda para detección de ERM en LATAM?</w:t>
      </w:r>
    </w:p>
    <w:p w14:paraId="72B4B401" w14:textId="77777777" w:rsidR="005D29C9" w:rsidRPr="00172E82" w:rsidRDefault="005D29C9" w:rsidP="00D3731D">
      <w:pPr>
        <w:spacing w:after="140"/>
        <w:jc w:val="both"/>
        <w:rPr>
          <w:i/>
          <w:iCs/>
        </w:rPr>
      </w:pPr>
      <w:r>
        <w:rPr>
          <w:i/>
          <w:iCs/>
        </w:rPr>
        <w:t>CITOMETRÍA DE FLUJO 8 COLORES Y RT-qPCR SON MÉTODOS COMPLEMENTARIOS; CITOMETRÍA MÁS ACCESIBLE (SENSIBILIDAD 10</w:t>
      </w:r>
      <w:r>
        <w:rPr>
          <w:i/>
          <w:iCs/>
          <w:vertAlign w:val="superscript"/>
        </w:rPr>
        <w:t>−4</w:t>
      </w:r>
      <w:r>
        <w:rPr>
          <w:i/>
          <w:iCs/>
        </w:rPr>
        <w:t>–10</w:t>
      </w:r>
      <w:r>
        <w:rPr>
          <w:i/>
          <w:iCs/>
          <w:vertAlign w:val="superscript"/>
        </w:rPr>
        <w:t>−5</w:t>
      </w:r>
      <w:r>
        <w:rPr>
          <w:i/>
          <w:iCs/>
        </w:rPr>
        <w:t>);</w:t>
      </w:r>
      <w:r>
        <w:rPr>
          <w:i/>
          <w:iCs/>
          <w:vertAlign w:val="superscript"/>
        </w:rPr>
        <w:t>4</w:t>
      </w:r>
      <w:r>
        <w:rPr>
          <w:i/>
          <w:iCs/>
        </w:rPr>
        <w:t xml:space="preserve"> PCR MÁS SENSIBLE (10</w:t>
      </w:r>
      <w:r>
        <w:rPr>
          <w:i/>
          <w:iCs/>
          <w:vertAlign w:val="superscript"/>
        </w:rPr>
        <w:t>−4</w:t>
      </w:r>
      <w:r>
        <w:rPr>
          <w:i/>
          <w:iCs/>
        </w:rPr>
        <w:t>–</w:t>
      </w:r>
      <w:r>
        <w:rPr>
          <w:i/>
          <w:iCs/>
        </w:rPr>
        <w:lastRenderedPageBreak/>
        <w:t>10</w:t>
      </w:r>
      <w:r>
        <w:rPr>
          <w:i/>
          <w:iCs/>
          <w:vertAlign w:val="superscript"/>
        </w:rPr>
        <w:t>−5</w:t>
      </w:r>
      <w:r>
        <w:rPr>
          <w:i/>
          <w:iCs/>
        </w:rPr>
        <w:t>);</w:t>
      </w:r>
      <w:r>
        <w:rPr>
          <w:i/>
          <w:iCs/>
          <w:vertAlign w:val="superscript"/>
        </w:rPr>
        <w:t>3</w:t>
      </w:r>
      <w:r>
        <w:rPr>
          <w:i/>
          <w:iCs/>
        </w:rPr>
        <w:t xml:space="preserve"> NGS TIENE LA MÁXIMA SENSIBILIDAD (10</w:t>
      </w:r>
      <w:r>
        <w:rPr>
          <w:i/>
          <w:iCs/>
          <w:vertAlign w:val="superscript"/>
        </w:rPr>
        <w:t>−6</w:t>
      </w:r>
      <w:r>
        <w:rPr>
          <w:i/>
          <w:iCs/>
        </w:rPr>
        <w:t>) PERO DISPONIBILIDAD LIMITADA;</w:t>
      </w:r>
      <w:r>
        <w:rPr>
          <w:i/>
          <w:iCs/>
          <w:vertAlign w:val="superscript"/>
        </w:rPr>
        <w:t>5</w:t>
      </w:r>
      <w:r>
        <w:rPr>
          <w:i/>
          <w:iCs/>
        </w:rPr>
        <w:t xml:space="preserve"> SELECCIÓN SEGÚN DISPONIBILIDAD Y EXPERTICIA LOCAL.</w:t>
      </w:r>
    </w:p>
    <w:p w14:paraId="196A8912" w14:textId="0A274F4E" w:rsidR="005D29C9" w:rsidRDefault="005D29C9" w:rsidP="00D3731D">
      <w:pPr>
        <w:spacing w:after="140"/>
        <w:jc w:val="both"/>
      </w:pPr>
      <w:r>
        <w:rPr>
          <w:b/>
          <w:bCs/>
          <w:sz w:val="20"/>
          <w:szCs w:val="20"/>
        </w:rPr>
        <w:t xml:space="preserve">Justificación: </w:t>
      </w:r>
      <w:r>
        <w:rPr>
          <w:sz w:val="20"/>
          <w:szCs w:val="20"/>
        </w:rPr>
        <w:t>RT-qPCR: sensibilidad 10</w:t>
      </w:r>
      <w:r>
        <w:rPr>
          <w:sz w:val="16"/>
          <w:szCs w:val="16"/>
          <w:vertAlign w:val="superscript"/>
        </w:rPr>
        <w:t>−4</w:t>
      </w:r>
      <w:r>
        <w:rPr>
          <w:sz w:val="20"/>
          <w:szCs w:val="20"/>
        </w:rPr>
        <w:t>–10</w:t>
      </w:r>
      <w:r>
        <w:rPr>
          <w:sz w:val="16"/>
          <w:szCs w:val="16"/>
          <w:vertAlign w:val="superscript"/>
        </w:rPr>
        <w:t>−5</w:t>
      </w:r>
      <w:r>
        <w:rPr>
          <w:sz w:val="20"/>
          <w:szCs w:val="20"/>
        </w:rPr>
        <w:t>, amplia estandarización, requiere identificación basal del reordenamiento.</w:t>
      </w:r>
      <w:r>
        <w:rPr>
          <w:sz w:val="16"/>
          <w:szCs w:val="16"/>
          <w:vertAlign w:val="superscript"/>
        </w:rPr>
        <w:t>3</w:t>
      </w:r>
      <w:r>
        <w:rPr>
          <w:sz w:val="20"/>
          <w:szCs w:val="20"/>
        </w:rPr>
        <w:t xml:space="preserve"> Citometría de flujo 8 colores: sensibilidad hasta 10</w:t>
      </w:r>
      <w:r>
        <w:rPr>
          <w:sz w:val="16"/>
          <w:szCs w:val="16"/>
          <w:vertAlign w:val="superscript"/>
        </w:rPr>
        <w:t>−5</w:t>
      </w:r>
      <w:r>
        <w:rPr>
          <w:sz w:val="20"/>
          <w:szCs w:val="20"/>
        </w:rPr>
        <w:t>, más disponible en LATAM, resultados rápidos (24–48 h), menor costo.</w:t>
      </w:r>
      <w:r>
        <w:rPr>
          <w:sz w:val="16"/>
          <w:szCs w:val="16"/>
          <w:vertAlign w:val="superscript"/>
        </w:rPr>
        <w:t>4</w:t>
      </w:r>
      <w:r>
        <w:rPr>
          <w:sz w:val="20"/>
          <w:szCs w:val="20"/>
        </w:rPr>
        <w:t xml:space="preserve"> NGS (clonoSEQ): sensibilidad 10</w:t>
      </w:r>
      <w:r>
        <w:rPr>
          <w:sz w:val="16"/>
          <w:szCs w:val="16"/>
          <w:vertAlign w:val="superscript"/>
        </w:rPr>
        <w:t>−6</w:t>
      </w:r>
      <w:r>
        <w:rPr>
          <w:sz w:val="20"/>
          <w:szCs w:val="20"/>
        </w:rPr>
        <w:t>, pero costos elevados (800–1.200 USD) y disponibilidad limitada en la región.</w:t>
      </w:r>
      <w:r>
        <w:rPr>
          <w:sz w:val="16"/>
          <w:szCs w:val="16"/>
          <w:vertAlign w:val="superscript"/>
        </w:rPr>
        <w:t>5</w:t>
      </w:r>
    </w:p>
    <w:p w14:paraId="27193103" w14:textId="27AE769B" w:rsidR="005D29C9" w:rsidRDefault="005D29C9" w:rsidP="00D3731D">
      <w:pPr>
        <w:spacing w:after="200"/>
        <w:jc w:val="both"/>
      </w:pPr>
      <w:r>
        <w:rPr>
          <w:b/>
          <w:bCs/>
          <w:sz w:val="20"/>
          <w:szCs w:val="20"/>
        </w:rPr>
        <w:t xml:space="preserve">Declaración (2B):  </w:t>
      </w:r>
      <w:r>
        <w:rPr>
          <w:sz w:val="20"/>
          <w:szCs w:val="20"/>
        </w:rPr>
        <w:t>Usar citometría de flujo 8 colores como estándar accesible con paneles optimizados y controles de calidad;</w:t>
      </w:r>
      <w:r>
        <w:rPr>
          <w:sz w:val="16"/>
          <w:szCs w:val="16"/>
          <w:vertAlign w:val="superscript"/>
        </w:rPr>
        <w:t>4</w:t>
      </w:r>
      <w:r>
        <w:rPr>
          <w:sz w:val="20"/>
          <w:szCs w:val="20"/>
        </w:rPr>
        <w:t xml:space="preserve"> RT-qPCR en centros con expertise molecular;</w:t>
      </w:r>
      <w:r>
        <w:rPr>
          <w:sz w:val="16"/>
          <w:szCs w:val="16"/>
          <w:vertAlign w:val="superscript"/>
        </w:rPr>
        <w:t>3</w:t>
      </w:r>
      <w:r>
        <w:rPr>
          <w:sz w:val="20"/>
          <w:szCs w:val="20"/>
        </w:rPr>
        <w:t xml:space="preserve"> NGS en centros de referencia para protocolos;</w:t>
      </w:r>
      <w:r>
        <w:rPr>
          <w:sz w:val="16"/>
          <w:szCs w:val="16"/>
          <w:vertAlign w:val="superscript"/>
        </w:rPr>
        <w:t>5</w:t>
      </w:r>
      <w:r>
        <w:rPr>
          <w:sz w:val="20"/>
          <w:szCs w:val="20"/>
        </w:rPr>
        <w:t xml:space="preserve"> en ausencia de MRD de alta sensibilidad, mantener estratificación clínico-patológica convencional.</w:t>
      </w:r>
    </w:p>
    <w:p w14:paraId="0C79FFC8" w14:textId="77777777" w:rsidR="005D29C9" w:rsidRPr="000C6123" w:rsidRDefault="005D29C9" w:rsidP="00D3731D">
      <w:pPr>
        <w:spacing w:before="280" w:after="140"/>
        <w:jc w:val="both"/>
        <w:rPr>
          <w:sz w:val="32"/>
          <w:szCs w:val="32"/>
        </w:rPr>
      </w:pPr>
      <w:r>
        <w:rPr>
          <w:b/>
          <w:bCs/>
          <w:sz w:val="24"/>
          <w:szCs w:val="24"/>
        </w:rPr>
        <w:t>9.3 ¿La ERM debe guiar intensificación o decisiones de trasplante?</w:t>
      </w:r>
    </w:p>
    <w:p w14:paraId="3F565E45" w14:textId="77777777" w:rsidR="005D29C9" w:rsidRPr="00172E82" w:rsidRDefault="005D29C9" w:rsidP="00D3731D">
      <w:pPr>
        <w:spacing w:after="140"/>
        <w:jc w:val="both"/>
        <w:rPr>
          <w:i/>
          <w:iCs/>
        </w:rPr>
      </w:pPr>
      <w:r>
        <w:rPr>
          <w:i/>
          <w:iCs/>
        </w:rPr>
        <w:t>ERM PERSISTENTE IDENTIFICA ALTO RIESGO, PERO NO DEBE GUIAR RUTINARIAMENTE INTENSIFICACIÓN FUERA DE ENSAYOS CLÍNICOS;</w:t>
      </w:r>
      <w:r>
        <w:rPr>
          <w:i/>
          <w:iCs/>
          <w:vertAlign w:val="superscript"/>
        </w:rPr>
        <w:t>7</w:t>
      </w:r>
      <w:r>
        <w:rPr>
          <w:i/>
          <w:iCs/>
        </w:rPr>
        <w:t xml:space="preserve"> PACIENTES ERM-NO DETECTABLES POST-INDUCCIÓN PUEDEN EVITAR AUTO-TPH Y SEGUIR CON RITUXIMAB DE MANTENIMIENTO;</w:t>
      </w:r>
      <w:r>
        <w:rPr>
          <w:i/>
          <w:iCs/>
          <w:vertAlign w:val="superscript"/>
        </w:rPr>
        <w:t>7</w:t>
      </w:r>
      <w:r>
        <w:rPr>
          <w:i/>
          <w:iCs/>
        </w:rPr>
        <w:t xml:space="preserve"> ERM-POSITIVOS PUEDEN BENEFICIARSE SI LOGRAN CONVERSIÓN POST-TRASPLANTE;</w:t>
      </w:r>
      <w:r>
        <w:rPr>
          <w:i/>
          <w:iCs/>
          <w:vertAlign w:val="superscript"/>
        </w:rPr>
        <w:t>7</w:t>
      </w:r>
      <w:r>
        <w:rPr>
          <w:i/>
          <w:iCs/>
        </w:rPr>
        <w:t xml:space="preserve"> PERSISTENCIA ERM POST-TRASPLANTE PREDICE MAL PRONÓSTICO.</w:t>
      </w:r>
      <w:r>
        <w:rPr>
          <w:i/>
          <w:iCs/>
          <w:vertAlign w:val="superscript"/>
        </w:rPr>
        <w:t>11</w:t>
      </w:r>
    </w:p>
    <w:p w14:paraId="6F6B42E6" w14:textId="36E77D06" w:rsidR="005D29C9" w:rsidRDefault="005D29C9" w:rsidP="00D3731D">
      <w:pPr>
        <w:spacing w:after="140"/>
        <w:jc w:val="both"/>
      </w:pPr>
      <w:r>
        <w:rPr>
          <w:b/>
          <w:bCs/>
        </w:rPr>
        <w:t>Justificación</w:t>
      </w:r>
      <w:r>
        <w:rPr>
          <w:b/>
          <w:bCs/>
          <w:sz w:val="24"/>
          <w:szCs w:val="24"/>
        </w:rPr>
        <w:t xml:space="preserve">: </w:t>
      </w:r>
      <w:r>
        <w:rPr>
          <w:sz w:val="20"/>
          <w:szCs w:val="20"/>
        </w:rPr>
        <w:t>El ensayo EA4151 demostró que los pacientes MRD-negativos post-inducción no se benefician del trasplante versus rituximab solo; los MRD-positivos pueden beneficiarse si convierten a negatividad post-trasplante.</w:t>
      </w:r>
      <w:r>
        <w:rPr>
          <w:sz w:val="16"/>
          <w:szCs w:val="16"/>
          <w:vertAlign w:val="superscript"/>
        </w:rPr>
        <w:t>7</w:t>
      </w:r>
      <w:r>
        <w:rPr>
          <w:sz w:val="20"/>
          <w:szCs w:val="20"/>
        </w:rPr>
        <w:t xml:space="preserve"> Sin embargo, no existe evidencia prospectiva de que las intervenciones guiadas por MRD (intensificación precoz) mejoren los resultados.</w:t>
      </w:r>
      <w:r>
        <w:rPr>
          <w:sz w:val="16"/>
          <w:szCs w:val="16"/>
          <w:vertAlign w:val="superscript"/>
        </w:rPr>
        <w:t>1,3</w:t>
      </w:r>
      <w:r>
        <w:rPr>
          <w:sz w:val="20"/>
          <w:szCs w:val="20"/>
        </w:rPr>
        <w:t xml:space="preserve"> El estudio VALERIA demostró la factibilidad de la adaptación guiada por MRD, aunque en el contexto de un protocolo específico.</w:t>
      </w:r>
      <w:r>
        <w:rPr>
          <w:sz w:val="16"/>
          <w:szCs w:val="16"/>
          <w:vertAlign w:val="superscript"/>
        </w:rPr>
        <w:t>6</w:t>
      </w:r>
    </w:p>
    <w:p w14:paraId="00F2567D" w14:textId="00B0406E" w:rsidR="005D29C9" w:rsidRDefault="005D29C9" w:rsidP="00D3731D">
      <w:pPr>
        <w:spacing w:after="200"/>
        <w:jc w:val="both"/>
      </w:pPr>
      <w:r>
        <w:rPr>
          <w:b/>
          <w:bCs/>
        </w:rPr>
        <w:t xml:space="preserve">Declaración (2C):  </w:t>
      </w:r>
      <w:r>
        <w:rPr>
          <w:sz w:val="20"/>
          <w:szCs w:val="20"/>
        </w:rPr>
        <w:t>No usar MRD rutinariamente para intensificación fuera de ensayos;</w:t>
      </w:r>
      <w:r>
        <w:rPr>
          <w:sz w:val="16"/>
          <w:szCs w:val="16"/>
          <w:vertAlign w:val="superscript"/>
        </w:rPr>
        <w:t>1</w:t>
      </w:r>
      <w:r>
        <w:rPr>
          <w:sz w:val="20"/>
          <w:szCs w:val="20"/>
        </w:rPr>
        <w:t xml:space="preserve"> no tomar decisiones de trasplante basadas exclusivamente en MRD;</w:t>
      </w:r>
      <w:r>
        <w:rPr>
          <w:sz w:val="16"/>
          <w:szCs w:val="16"/>
          <w:vertAlign w:val="superscript"/>
        </w:rPr>
        <w:t>7</w:t>
      </w:r>
      <w:r>
        <w:rPr>
          <w:sz w:val="20"/>
          <w:szCs w:val="20"/>
        </w:rPr>
        <w:t xml:space="preserve"> usar MRD para estratificación de riesgo, seguimiento frecuente y selección para protocolos de investigación;</w:t>
      </w:r>
      <w:r>
        <w:rPr>
          <w:sz w:val="16"/>
          <w:szCs w:val="16"/>
          <w:vertAlign w:val="superscript"/>
        </w:rPr>
        <w:t>6,7</w:t>
      </w:r>
      <w:r>
        <w:rPr>
          <w:sz w:val="20"/>
          <w:szCs w:val="20"/>
        </w:rPr>
        <w:t xml:space="preserve"> en recursos limitados, continuar consolidación estándar basada en factores convencionales.</w:t>
      </w:r>
    </w:p>
    <w:p w14:paraId="6BECA04C" w14:textId="77777777" w:rsidR="005D29C9" w:rsidRPr="000C6123" w:rsidRDefault="005D29C9" w:rsidP="00D3731D">
      <w:pPr>
        <w:spacing w:before="280" w:after="140"/>
        <w:jc w:val="both"/>
        <w:rPr>
          <w:sz w:val="32"/>
          <w:szCs w:val="32"/>
        </w:rPr>
      </w:pPr>
      <w:r>
        <w:rPr>
          <w:b/>
          <w:bCs/>
          <w:sz w:val="24"/>
          <w:szCs w:val="24"/>
        </w:rPr>
        <w:t>9.4 ¿ERM debe guiar mantenimiento y pacientes ERM-negativos se benefician?</w:t>
      </w:r>
    </w:p>
    <w:p w14:paraId="6FCE67DD" w14:textId="77777777" w:rsidR="005D29C9" w:rsidRPr="00172E82" w:rsidRDefault="005D29C9" w:rsidP="00D3731D">
      <w:pPr>
        <w:spacing w:after="140"/>
        <w:jc w:val="both"/>
        <w:rPr>
          <w:i/>
          <w:iCs/>
        </w:rPr>
      </w:pPr>
      <w:r>
        <w:rPr>
          <w:i/>
          <w:iCs/>
        </w:rPr>
        <w:t>MRD NO DEBE GUIAR LA DECISION DE MANTENIMIENTO CON RITUXIMAB; PACIENTES MRD-NEGATIVOS SI SE BENEFICIAN SIGNIFICATIVAMENTE (REDUCCION 62% PROGRESION HR 0.38, 63% MUERTE HR 0.37);</w:t>
      </w:r>
      <w:r>
        <w:rPr>
          <w:i/>
          <w:iCs/>
          <w:vertAlign w:val="superscript"/>
        </w:rPr>
        <w:t>8,9</w:t>
      </w:r>
      <w:r>
        <w:rPr>
          <w:i/>
          <w:iCs/>
        </w:rPr>
        <w:t xml:space="preserve"> PACIENTES MRD-POSITIVOS TAMBIÉN SE BENEFICIAN; OMISIÓN EN MRD-NEGATIVOS ESTÁ FUERTEMENTE DESACONSEJADA.</w:t>
      </w:r>
      <w:r>
        <w:rPr>
          <w:i/>
          <w:iCs/>
          <w:vertAlign w:val="superscript"/>
        </w:rPr>
        <w:t>8,9</w:t>
      </w:r>
    </w:p>
    <w:p w14:paraId="5C737003" w14:textId="46E8D0F0" w:rsidR="005D29C9" w:rsidRDefault="005D29C9" w:rsidP="00D3731D">
      <w:pPr>
        <w:spacing w:after="140"/>
        <w:jc w:val="both"/>
      </w:pPr>
      <w:r>
        <w:rPr>
          <w:b/>
          <w:bCs/>
        </w:rPr>
        <w:t xml:space="preserve">Justificación: </w:t>
      </w:r>
      <w:r>
        <w:rPr>
          <w:sz w:val="20"/>
          <w:szCs w:val="20"/>
        </w:rPr>
        <w:t>El estudio LyMa demostró que el mantenimiento con rituximab mejora la supervivencia libre de progresión y la supervivencia global independientemente del estado de MRD.</w:t>
      </w:r>
      <w:r>
        <w:rPr>
          <w:sz w:val="16"/>
          <w:szCs w:val="16"/>
          <w:vertAlign w:val="superscript"/>
        </w:rPr>
        <w:t>8</w:t>
      </w:r>
      <w:r>
        <w:rPr>
          <w:sz w:val="20"/>
          <w:szCs w:val="20"/>
        </w:rPr>
        <w:t xml:space="preserve"> Los pacientes MRD-negativos con mantenimiento presentan HR 0.38 para progresión y HR 0.37 para muerte frente a no mantenimiento.</w:t>
      </w:r>
      <w:r>
        <w:rPr>
          <w:sz w:val="16"/>
          <w:szCs w:val="16"/>
          <w:vertAlign w:val="superscript"/>
        </w:rPr>
        <w:t>8,9</w:t>
      </w:r>
      <w:r>
        <w:rPr>
          <w:sz w:val="20"/>
          <w:szCs w:val="20"/>
        </w:rPr>
        <w:t xml:space="preserve"> Los pacientes MRD-positivos también se benefician del mantenimiento.</w:t>
      </w:r>
      <w:r>
        <w:rPr>
          <w:sz w:val="16"/>
          <w:szCs w:val="16"/>
          <w:vertAlign w:val="superscript"/>
        </w:rPr>
        <w:t>9</w:t>
      </w:r>
      <w:r>
        <w:rPr>
          <w:sz w:val="20"/>
          <w:szCs w:val="20"/>
        </w:rPr>
        <w:t xml:space="preserve"> El mantenimiento debe ser universal e independiente del estado de MRD.</w:t>
      </w:r>
      <w:r>
        <w:rPr>
          <w:sz w:val="16"/>
          <w:szCs w:val="16"/>
          <w:vertAlign w:val="superscript"/>
        </w:rPr>
        <w:t>8,9</w:t>
      </w:r>
    </w:p>
    <w:p w14:paraId="539CFE20" w14:textId="4DF456CB" w:rsidR="005D29C9" w:rsidRDefault="005D29C9" w:rsidP="00D3731D">
      <w:pPr>
        <w:spacing w:after="200"/>
        <w:jc w:val="both"/>
      </w:pPr>
      <w:r>
        <w:rPr>
          <w:b/>
          <w:bCs/>
        </w:rPr>
        <w:t xml:space="preserve">Declaración (1B):  </w:t>
      </w:r>
      <w:r>
        <w:rPr>
          <w:sz w:val="20"/>
          <w:szCs w:val="20"/>
        </w:rPr>
        <w:t>Indicar mantenimiento universal con rituximab en todos los respondedores independientemente del estado de MRD;</w:t>
      </w:r>
      <w:r>
        <w:rPr>
          <w:sz w:val="16"/>
          <w:szCs w:val="16"/>
          <w:vertAlign w:val="superscript"/>
        </w:rPr>
        <w:t>8</w:t>
      </w:r>
      <w:r>
        <w:rPr>
          <w:sz w:val="20"/>
          <w:szCs w:val="20"/>
        </w:rPr>
        <w:t xml:space="preserve"> los pacientes MRD-negativos DEBEN recibir mantenimiento dado el beneficio sustancial demostrado;</w:t>
      </w:r>
      <w:r>
        <w:rPr>
          <w:sz w:val="16"/>
          <w:szCs w:val="16"/>
          <w:vertAlign w:val="superscript"/>
        </w:rPr>
        <w:t>8,9</w:t>
      </w:r>
      <w:r>
        <w:rPr>
          <w:sz w:val="20"/>
          <w:szCs w:val="20"/>
        </w:rPr>
        <w:t xml:space="preserve"> no usar MRD para omitir el mantenimiento; en LATAM, priorizar mantenimiento universal como intervención de mayor impacto costo-efectivo independientemente de la capacidad de MRD.</w:t>
      </w:r>
    </w:p>
    <w:p w14:paraId="48CE0610" w14:textId="77777777" w:rsidR="005D29C9" w:rsidRPr="000C6123" w:rsidRDefault="005D29C9" w:rsidP="00D3731D">
      <w:pPr>
        <w:spacing w:before="280" w:after="140"/>
        <w:jc w:val="both"/>
        <w:rPr>
          <w:sz w:val="32"/>
          <w:szCs w:val="32"/>
        </w:rPr>
      </w:pPr>
      <w:r>
        <w:rPr>
          <w:b/>
          <w:bCs/>
          <w:sz w:val="24"/>
          <w:szCs w:val="24"/>
        </w:rPr>
        <w:t>9.5 ¿Papel actual y futuro de ERM en LATAM?</w:t>
      </w:r>
    </w:p>
    <w:p w14:paraId="22CB77FE" w14:textId="77777777" w:rsidR="005D29C9" w:rsidRPr="00172E82" w:rsidRDefault="005D29C9" w:rsidP="00D3731D">
      <w:pPr>
        <w:spacing w:after="140"/>
        <w:jc w:val="both"/>
        <w:rPr>
          <w:i/>
          <w:iCs/>
        </w:rPr>
      </w:pPr>
      <w:r>
        <w:rPr>
          <w:i/>
          <w:iCs/>
        </w:rPr>
        <w:lastRenderedPageBreak/>
        <w:t>EL PAPEL ACTUAL ES LIMITADO POR DISPONIBILIDAD TECNOLÓGICA, COSTOS Y FALTA DE ESTANDARIZACIÓN;</w:t>
      </w:r>
      <w:r>
        <w:rPr>
          <w:i/>
          <w:iCs/>
          <w:vertAlign w:val="superscript"/>
        </w:rPr>
        <w:t>4,5</w:t>
      </w:r>
      <w:r>
        <w:rPr>
          <w:i/>
          <w:iCs/>
        </w:rPr>
        <w:t xml:space="preserve"> EL FUTURO PROMETE MAYOR ACCESIBILIDAD MEDIANTE REDES REGIONALES, REDUCCIÓN DE COSTOS DE NGS Y EVIDENCIA LOCAL; LA TRANSICIÓN REQUIERE INVERSIÓN EN INFRAESTRUCTURA, CAPACITACIÓN Y VALIDACIÓN DE COSTO-EFECTIVIDAD.</w:t>
      </w:r>
      <w:r>
        <w:rPr>
          <w:i/>
          <w:iCs/>
          <w:vertAlign w:val="superscript"/>
        </w:rPr>
        <w:t>12</w:t>
      </w:r>
    </w:p>
    <w:p w14:paraId="72C71F7D" w14:textId="701D8817" w:rsidR="005D29C9" w:rsidRDefault="005D29C9" w:rsidP="00D3731D">
      <w:pPr>
        <w:spacing w:after="140"/>
        <w:jc w:val="both"/>
      </w:pPr>
      <w:r>
        <w:rPr>
          <w:b/>
          <w:bCs/>
        </w:rPr>
        <w:t xml:space="preserve">Justificación: </w:t>
      </w:r>
      <w:r>
        <w:rPr>
          <w:sz w:val="20"/>
          <w:szCs w:val="20"/>
        </w:rPr>
        <w:t>Situación actual: la citometría de 4–6 colores está disponible, pero los paneles de 8 colores son limitados; RT-qPCR disponible en centros académicos; NGS muy limitado (costos 800–1.200 USD).</w:t>
      </w:r>
      <w:r>
        <w:rPr>
          <w:sz w:val="16"/>
          <w:szCs w:val="16"/>
          <w:vertAlign w:val="superscript"/>
        </w:rPr>
        <w:t>4,5</w:t>
      </w:r>
      <w:r>
        <w:rPr>
          <w:sz w:val="20"/>
          <w:szCs w:val="20"/>
        </w:rPr>
        <w:t xml:space="preserve"> Perspectiva futura: las redes regionales pueden optimizar recursos; la reducción de costos de NGS abrirá acceso; los estudios cooperativos generarán evidencia local.</w:t>
      </w:r>
      <w:r>
        <w:rPr>
          <w:sz w:val="16"/>
          <w:szCs w:val="16"/>
          <w:vertAlign w:val="superscript"/>
        </w:rPr>
        <w:t>12</w:t>
      </w:r>
      <w:r>
        <w:rPr>
          <w:sz w:val="20"/>
          <w:szCs w:val="20"/>
        </w:rPr>
        <w:t xml:space="preserve"> Se requiere inversión sostenida, capacitación, controles de calidad y validación contextual.</w:t>
      </w:r>
      <w:r>
        <w:rPr>
          <w:sz w:val="16"/>
          <w:szCs w:val="16"/>
          <w:vertAlign w:val="superscript"/>
        </w:rPr>
        <w:t>4,12</w:t>
      </w:r>
    </w:p>
    <w:p w14:paraId="4D574785" w14:textId="2D1857B3" w:rsidR="00EA2FA6" w:rsidRDefault="005D29C9" w:rsidP="00D3731D">
      <w:pPr>
        <w:spacing w:after="300"/>
        <w:jc w:val="both"/>
      </w:pPr>
      <w:r>
        <w:rPr>
          <w:b/>
          <w:bCs/>
        </w:rPr>
        <w:t xml:space="preserve">Declaración (2D):  </w:t>
      </w:r>
      <w:r>
        <w:rPr>
          <w:sz w:val="20"/>
          <w:szCs w:val="20"/>
        </w:rPr>
        <w:t>Limitar el uso rutinario de MRD a centros de referencia y protocolos;</w:t>
      </w:r>
      <w:r>
        <w:rPr>
          <w:sz w:val="16"/>
          <w:szCs w:val="16"/>
          <w:vertAlign w:val="superscript"/>
        </w:rPr>
        <w:t>4,5</w:t>
      </w:r>
      <w:r>
        <w:rPr>
          <w:sz w:val="20"/>
          <w:szCs w:val="20"/>
        </w:rPr>
        <w:t xml:space="preserve"> basar las decisiones en la práctica general en factores convencionales; promover redes regionales de referencia y participación en cooperativos; implementar capacitación y control de calidad;</w:t>
      </w:r>
      <w:r>
        <w:rPr>
          <w:sz w:val="16"/>
          <w:szCs w:val="16"/>
          <w:vertAlign w:val="superscript"/>
        </w:rPr>
        <w:t>4</w:t>
      </w:r>
      <w:r>
        <w:rPr>
          <w:sz w:val="20"/>
          <w:szCs w:val="20"/>
        </w:rPr>
        <w:t xml:space="preserve"> validar costo-efectividad antes de la implementación rutinaria;</w:t>
      </w:r>
      <w:r>
        <w:rPr>
          <w:sz w:val="16"/>
          <w:szCs w:val="16"/>
          <w:vertAlign w:val="superscript"/>
        </w:rPr>
        <w:t>12</w:t>
      </w:r>
      <w:r>
        <w:rPr>
          <w:sz w:val="20"/>
          <w:szCs w:val="20"/>
        </w:rPr>
        <w:t xml:space="preserve"> reconocer que la excelencia actual es alcanzable mediante estratificación convencional optimizada.</w:t>
      </w:r>
    </w:p>
    <w:p w14:paraId="3DAD5E96" w14:textId="19E9494B" w:rsidR="00B204E1" w:rsidRPr="00C77450" w:rsidRDefault="005D29C9" w:rsidP="000C6123">
      <w:pPr>
        <w:spacing w:before="60" w:after="60" w:line="260" w:lineRule="auto"/>
        <w:ind w:left="360" w:hanging="360"/>
        <w:jc w:val="both"/>
        <w:rPr>
          <w:b/>
          <w:bCs/>
          <w:color w:val="444444"/>
          <w:sz w:val="18"/>
          <w:szCs w:val="18"/>
          <w:lang w:val="es-VE"/>
        </w:rPr>
      </w:pPr>
      <w:r w:rsidRPr="00C77450">
        <w:rPr>
          <w:b/>
          <w:bCs/>
          <w:color w:val="444444"/>
          <w:sz w:val="18"/>
          <w:szCs w:val="18"/>
          <w:lang w:val="es-VE"/>
        </w:rPr>
        <w:t>Bibliografía</w:t>
      </w:r>
    </w:p>
    <w:p w14:paraId="5C1F9797" w14:textId="77777777" w:rsidR="005D29C9" w:rsidRPr="004F4119" w:rsidRDefault="005D29C9" w:rsidP="000C6123">
      <w:pPr>
        <w:spacing w:before="60" w:after="60" w:line="260" w:lineRule="auto"/>
        <w:ind w:left="360" w:hanging="360"/>
        <w:jc w:val="both"/>
        <w:rPr>
          <w:color w:val="444444"/>
          <w:sz w:val="18"/>
          <w:szCs w:val="18"/>
          <w:lang w:val="en-US"/>
        </w:rPr>
      </w:pPr>
      <w:r w:rsidRPr="00C77450">
        <w:rPr>
          <w:color w:val="444444"/>
          <w:sz w:val="18"/>
          <w:szCs w:val="18"/>
          <w:lang w:val="es-VE"/>
        </w:rPr>
        <w:t xml:space="preserve">1. Zhuo S, et al. </w:t>
      </w:r>
      <w:r>
        <w:rPr>
          <w:color w:val="444444"/>
          <w:sz w:val="18"/>
          <w:szCs w:val="18"/>
          <w:lang w:val="en-US"/>
        </w:rPr>
        <w:t>Minimal Residual Disease and Survival Outcomes in Patients with Mantle Cell Lymphoma: A Systematic Review and Meta-analysis. JAMA Oncol. 2021;7(1):e205580.</w:t>
      </w:r>
    </w:p>
    <w:p w14:paraId="43075312"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2. Zhao S, et al. The optimal time and clinical implications of measurable residual disease detection in mantle cell lymphoma. Ann Hematol. 2025;104:145–156.</w:t>
      </w:r>
    </w:p>
    <w:p w14:paraId="0B0AC3DE"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3. Pott C, et al. Minimal Residual Disease in Mantle Cell Lymphoma: The Unbearable Lightness of Being Undetectable. Curr Oncol Rep. 2024;26(12):1664–1674.</w:t>
      </w:r>
    </w:p>
    <w:p w14:paraId="3708C576"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4. Ferrero S, et al. Measurable residual disease in mantle cell lymphoma by multiparametric flow cytometry: strengths and pitfalls. Haematologica. 2022;107(6):1206–1216.</w:t>
      </w:r>
    </w:p>
    <w:p w14:paraId="668C00FA"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5. McCulloch R, et al. Measurable residual disease detection using next-generation sequencing in mantle cell lymphoma. Blood Adv. 2020;4(2):403–407.</w:t>
      </w:r>
    </w:p>
    <w:p w14:paraId="240E711B"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6. Kolstad A, et al. MRD-driven treatment with venetoclax-R2 in mantle cell lymphoma: the Nordic Lymphoma Group MCL7 VALERIA trial. Blood. 2024;144(4):309–320.</w:t>
      </w:r>
    </w:p>
    <w:p w14:paraId="5915DD11"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7. Kahl BS, et al. Lack of Benefit of Autologous Hematopoietic Cell Transplantation in First CR with uMRD: Report from ECOG-ACRIN EA4151. J Clin Oncol. 2024;42(Suppl):LBA7500.</w:t>
      </w:r>
    </w:p>
    <w:p w14:paraId="36CEC139"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8. Rummel MJ, et al. Rituximab maintenance therapy for mantle cell lymphoma: A systematic review and meta-analysis. Hematol Oncol. 2018;36(4):543–550.</w:t>
      </w:r>
    </w:p>
    <w:p w14:paraId="34D77EB3"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9. Luminari S, et al. The prognostic role of MRD in elderly MCL patients treated with R-CHOP and rituximab maintenance. Blood. 2020;136(2):176–184.</w:t>
      </w:r>
    </w:p>
    <w:p w14:paraId="4A246E72"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10. Pott C, et al. MRD monitoring in MCL0208 trial: post-induction, consolidation, and ASCT predictive value. Leukemia. 2016;30(12):2401–2408.</w:t>
      </w:r>
    </w:p>
    <w:p w14:paraId="72ADE7F3" w14:textId="77777777" w:rsidR="005D29C9" w:rsidRPr="004F4119" w:rsidRDefault="005D29C9" w:rsidP="000C6123">
      <w:pPr>
        <w:spacing w:before="60" w:after="60" w:line="260" w:lineRule="auto"/>
        <w:ind w:left="360" w:hanging="360"/>
        <w:jc w:val="both"/>
        <w:rPr>
          <w:color w:val="444444"/>
          <w:sz w:val="18"/>
          <w:szCs w:val="18"/>
          <w:lang w:val="en-US"/>
        </w:rPr>
      </w:pPr>
      <w:r>
        <w:rPr>
          <w:color w:val="444444"/>
          <w:sz w:val="18"/>
          <w:szCs w:val="18"/>
          <w:lang w:val="en-US"/>
        </w:rPr>
        <w:t>11. Geisler C, et al. Molecular remission after autologous stem-cell transplantation predicts long-term outcome in MCL. J Clin Oncol. 2008;26(36):5703–5710.</w:t>
      </w:r>
    </w:p>
    <w:p w14:paraId="14A83BA2" w14:textId="77777777" w:rsidR="005D29C9" w:rsidRPr="000C6123" w:rsidRDefault="005D29C9" w:rsidP="000C6123">
      <w:pPr>
        <w:spacing w:before="60" w:after="60" w:line="260" w:lineRule="auto"/>
        <w:ind w:left="360" w:hanging="360"/>
        <w:jc w:val="both"/>
        <w:rPr>
          <w:color w:val="444444"/>
          <w:sz w:val="18"/>
          <w:szCs w:val="18"/>
          <w:lang w:val="es-VE"/>
        </w:rPr>
      </w:pPr>
      <w:r>
        <w:rPr>
          <w:color w:val="444444"/>
          <w:sz w:val="18"/>
          <w:szCs w:val="18"/>
          <w:lang w:val="en-US"/>
        </w:rPr>
        <w:t xml:space="preserve">12. ODAC/FDA. Regulatory acceptance of MRD as endpoint in hematological malignancies. </w:t>
      </w:r>
      <w:r>
        <w:rPr>
          <w:color w:val="444444"/>
          <w:sz w:val="18"/>
          <w:szCs w:val="18"/>
          <w:lang w:val="es-VE"/>
        </w:rPr>
        <w:t>FDA Briefing Document. 2020.</w:t>
      </w:r>
    </w:p>
    <w:p w14:paraId="32059CAD" w14:textId="22AFC78F" w:rsidR="00473975" w:rsidRPr="004E32F5" w:rsidRDefault="00473975" w:rsidP="00D3731D">
      <w:pPr>
        <w:jc w:val="both"/>
        <w:rPr>
          <w:lang w:val="es-VE"/>
        </w:rPr>
      </w:pPr>
      <w:bookmarkStart w:id="44" w:name="_heading=h.p4hokhh8no1m" w:colFirst="0" w:colLast="0"/>
      <w:bookmarkStart w:id="45" w:name="_heading=h.p8vhs6yh0ear" w:colFirst="0" w:colLast="0"/>
      <w:bookmarkStart w:id="46" w:name="_heading=h.vs4yh9y6e4a" w:colFirst="0" w:colLast="0"/>
      <w:bookmarkStart w:id="47" w:name="_heading=h.y0nxqn4vswj6" w:colFirst="0" w:colLast="0"/>
      <w:bookmarkEnd w:id="44"/>
      <w:bookmarkEnd w:id="45"/>
      <w:bookmarkEnd w:id="46"/>
      <w:bookmarkEnd w:id="47"/>
    </w:p>
    <w:p w14:paraId="31CF0C7A" w14:textId="77777777" w:rsidR="006E5E66" w:rsidRDefault="006E5E66" w:rsidP="00D3731D">
      <w:pPr>
        <w:spacing w:after="200"/>
        <w:jc w:val="both"/>
        <w:rPr>
          <w:b/>
          <w:bCs/>
          <w:sz w:val="24"/>
          <w:szCs w:val="24"/>
        </w:rPr>
      </w:pPr>
      <w:r>
        <w:rPr>
          <w:b/>
          <w:bCs/>
          <w:sz w:val="24"/>
          <w:szCs w:val="24"/>
        </w:rPr>
        <w:t>10. EVALUACION Y MANEJO GERIATRICO INTEGRAL</w:t>
      </w:r>
    </w:p>
    <w:p w14:paraId="2D4E7715" w14:textId="7E193E36" w:rsidR="000C6123" w:rsidRDefault="000C6123" w:rsidP="00D3731D">
      <w:pPr>
        <w:spacing w:after="200"/>
        <w:jc w:val="both"/>
        <w:rPr>
          <w:b/>
          <w:bCs/>
          <w:sz w:val="24"/>
          <w:szCs w:val="24"/>
        </w:rPr>
      </w:pPr>
      <w:r>
        <w:rPr>
          <w:b/>
          <w:bCs/>
          <w:i/>
          <w:iCs/>
          <w:sz w:val="24"/>
          <w:szCs w:val="24"/>
        </w:rPr>
        <w:t>Dr. Brady Beltrán (Perú), Dr. Jaime Valdez (Colombia), Dr. Jorge Daza (Colombia</w:t>
      </w:r>
      <w:r>
        <w:rPr>
          <w:i/>
          <w:iCs/>
          <w:sz w:val="24"/>
          <w:szCs w:val="24"/>
        </w:rPr>
        <w:t>)</w:t>
      </w:r>
    </w:p>
    <w:p w14:paraId="690B73F2" w14:textId="77777777" w:rsidR="00D3731D" w:rsidRPr="008977FB" w:rsidRDefault="00D3731D" w:rsidP="00D3731D">
      <w:pPr>
        <w:spacing w:before="300" w:after="140"/>
        <w:jc w:val="both"/>
        <w:rPr>
          <w:sz w:val="32"/>
          <w:szCs w:val="32"/>
        </w:rPr>
      </w:pPr>
      <w:r>
        <w:rPr>
          <w:b/>
          <w:bCs/>
          <w:sz w:val="24"/>
          <w:szCs w:val="24"/>
        </w:rPr>
        <w:t>10.1 ¿Qué escalas geriátricas se recomiendan para la práctica clínica?</w:t>
      </w:r>
    </w:p>
    <w:p w14:paraId="776BF409" w14:textId="77777777" w:rsidR="00D3731D" w:rsidRPr="00172E82" w:rsidRDefault="00D3731D" w:rsidP="00D3731D">
      <w:pPr>
        <w:spacing w:after="140"/>
        <w:jc w:val="both"/>
        <w:rPr>
          <w:i/>
          <w:iCs/>
        </w:rPr>
      </w:pPr>
      <w:r>
        <w:rPr>
          <w:i/>
          <w:iCs/>
        </w:rPr>
        <w:t xml:space="preserve">EL TAMIZAJE CON EL CUESTIONARIO G8 (SENSIBILIDAD 85–90%) DEBE APLICARSE DE FORMA UNIVERSAL EN PACIENTES ≥65–70 AÑOS AL DIAGNÓSTICO. EN QUIENES </w:t>
      </w:r>
      <w:r>
        <w:rPr>
          <w:i/>
          <w:iCs/>
        </w:rPr>
        <w:lastRenderedPageBreak/>
        <w:t>OBTENGAN UN PUNTAJE ≤14 O GENEREN PREOCUPACIÓN CLÍNICA POR FRAGILIDAD, SE RECOMIENDA REALIZAR UNA EVALUACIÓN GERIÁTRICA INTEGRAL (CGA) COMPLETA QUE INCLUYA LOS DOMINIOS FUNCIONAL, DE COMORBILIDADES (CIRS-G O CHARLSON), COGNITIVO, NUTRICIONAL, PSICOLÓGICO, DE POLIFARMACIA Y SOPORTE SOCIAL. EL VES-13 ES UNA ALTERNATIVA VÁLIDA PARA DETECCIÓN RÁPIDA DE VULNERABILIDAD.</w:t>
      </w:r>
      <w:r>
        <w:rPr>
          <w:i/>
          <w:iCs/>
          <w:vertAlign w:val="superscript"/>
        </w:rPr>
        <w:t>5,6</w:t>
      </w:r>
    </w:p>
    <w:p w14:paraId="037DF768" w14:textId="2AE707BD" w:rsidR="00D3731D" w:rsidRDefault="00D3731D" w:rsidP="00D3731D">
      <w:pPr>
        <w:spacing w:after="140"/>
        <w:jc w:val="both"/>
      </w:pPr>
      <w:r>
        <w:rPr>
          <w:b/>
          <w:bCs/>
        </w:rPr>
        <w:t>Justificación</w:t>
      </w:r>
      <w:r>
        <w:rPr>
          <w:b/>
          <w:bCs/>
          <w:sz w:val="20"/>
          <w:szCs w:val="20"/>
        </w:rPr>
        <w:t xml:space="preserve">: </w:t>
      </w:r>
      <w:r>
        <w:rPr>
          <w:sz w:val="20"/>
          <w:szCs w:val="20"/>
        </w:rPr>
        <w:t>La evaluación geriátrica resulta crítica en el contexto del linfoma de células del manto (LCM), dado que hasta el 50% de los pacientes con ECOG 0–1 presenta fragilidad detectable que predice mayor toxicidad al tratamiento.</w:t>
      </w:r>
      <w:r>
        <w:rPr>
          <w:sz w:val="16"/>
          <w:szCs w:val="16"/>
          <w:vertAlign w:val="superscript"/>
        </w:rPr>
        <w:t>5</w:t>
      </w:r>
      <w:r>
        <w:rPr>
          <w:sz w:val="20"/>
          <w:szCs w:val="20"/>
        </w:rPr>
        <w:t xml:space="preserve"> El cuestionario G8, compuesto por 8 ítems y administrable en aproximadamente 5 minutos, identifica fragilidad con una sensibilidad del 85–90% y especificidad del 65–75%.</w:t>
      </w:r>
      <w:r>
        <w:rPr>
          <w:sz w:val="16"/>
          <w:szCs w:val="16"/>
          <w:vertAlign w:val="superscript"/>
        </w:rPr>
        <w:t>5</w:t>
      </w:r>
      <w:r>
        <w:rPr>
          <w:sz w:val="20"/>
          <w:szCs w:val="20"/>
        </w:rPr>
        <w:t xml:space="preserve"> El CIRS-G cuantifica la severidad de comorbilidades en 14 sistemas orgánicos, mientras que el índice de Charlson constituye una alternativa simplificada que considera 19 condiciones.</w:t>
      </w:r>
      <w:r>
        <w:rPr>
          <w:sz w:val="16"/>
          <w:szCs w:val="16"/>
          <w:vertAlign w:val="superscript"/>
        </w:rPr>
        <w:t>6</w:t>
      </w:r>
      <w:r>
        <w:rPr>
          <w:sz w:val="20"/>
          <w:szCs w:val="20"/>
        </w:rPr>
        <w:t xml:space="preserve"> El VES-13, con sus 13 ítems, permite una detección rápida de pacientes vulnerables en entornos con recursos limitados.</w:t>
      </w:r>
      <w:r>
        <w:rPr>
          <w:sz w:val="16"/>
          <w:szCs w:val="16"/>
          <w:vertAlign w:val="superscript"/>
        </w:rPr>
        <w:t>5</w:t>
      </w:r>
      <w:r>
        <w:rPr>
          <w:sz w:val="20"/>
          <w:szCs w:val="20"/>
        </w:rPr>
        <w:t xml:space="preserve"> La CGA completa abarca la evaluación funcional (actividades básicas e instrumentales de la vida diaria), el estado cognitivo (MMSE/MoCA), el estado nutricional (MNA-SF), el estado afectivo (GDS-15), la polifarmacia y el soporte social; sus resultados predicen toxicidad con mayor precisión que el ECOG aislado y permiten intervenciones dirigidas a los déficits identificados.</w:t>
      </w:r>
      <w:r>
        <w:rPr>
          <w:sz w:val="16"/>
          <w:szCs w:val="16"/>
          <w:vertAlign w:val="superscript"/>
        </w:rPr>
        <w:t>5,6</w:t>
      </w:r>
    </w:p>
    <w:p w14:paraId="1289071B" w14:textId="5D0EB42B" w:rsidR="00D3731D" w:rsidRDefault="00D3731D" w:rsidP="00D3731D">
      <w:pPr>
        <w:spacing w:after="220"/>
        <w:jc w:val="both"/>
      </w:pPr>
      <w:r>
        <w:rPr>
          <w:b/>
          <w:bCs/>
        </w:rPr>
        <w:t>Declaración (2B</w:t>
      </w:r>
      <w:r>
        <w:rPr>
          <w:b/>
          <w:bCs/>
          <w:sz w:val="20"/>
          <w:szCs w:val="20"/>
        </w:rPr>
        <w:t xml:space="preserve">): </w:t>
      </w:r>
      <w:r>
        <w:rPr>
          <w:sz w:val="20"/>
          <w:szCs w:val="20"/>
        </w:rPr>
        <w:t>Implementar tamizaje con G8 de forma universal en pacientes ≥65–70 años al diagnóstico.</w:t>
      </w:r>
      <w:r>
        <w:rPr>
          <w:sz w:val="16"/>
          <w:szCs w:val="16"/>
          <w:vertAlign w:val="superscript"/>
        </w:rPr>
        <w:t>5</w:t>
      </w:r>
      <w:r>
        <w:rPr>
          <w:sz w:val="20"/>
          <w:szCs w:val="20"/>
        </w:rPr>
        <w:t xml:space="preserve"> Ante un G8 ≤14 o preocupación clínica de fragilidad, realizar CGA completa (CIRS-G/Charlson, MMSE/MoCA, MNA-SF, GDS-15, revisión de polifarmacia y soporte social).</w:t>
      </w:r>
      <w:r>
        <w:rPr>
          <w:sz w:val="16"/>
          <w:szCs w:val="16"/>
          <w:vertAlign w:val="superscript"/>
        </w:rPr>
        <w:t>5,6</w:t>
      </w:r>
      <w:r>
        <w:rPr>
          <w:sz w:val="20"/>
          <w:szCs w:val="20"/>
        </w:rPr>
        <w:t xml:space="preserve"> Clasificar a los pacientes en fit, vulnerable o frágil y guiar las decisiones terapéuticas según esta categorización, independientemente de la edad cronológica. Implementar intervenciones dirigidas a los déficits detectados (optimización nutricional, desprescripción, manejo de la depresión, articulación del soporte social). En entornos con recursos limitados, priorizar el G8 con evaluación profunda según disponibilidad. Conformar un equipo multidisciplinario y reevaluar periódicamente durante el tratamiento.</w:t>
      </w:r>
      <w:r>
        <w:rPr>
          <w:sz w:val="16"/>
          <w:szCs w:val="16"/>
          <w:vertAlign w:val="superscript"/>
        </w:rPr>
        <w:t>5,6</w:t>
      </w:r>
    </w:p>
    <w:p w14:paraId="2DE264BC" w14:textId="77777777" w:rsidR="00D3731D" w:rsidRPr="008977FB" w:rsidRDefault="00D3731D" w:rsidP="00D3731D">
      <w:pPr>
        <w:spacing w:before="300" w:after="140"/>
        <w:jc w:val="both"/>
        <w:rPr>
          <w:sz w:val="32"/>
          <w:szCs w:val="32"/>
        </w:rPr>
      </w:pPr>
      <w:r>
        <w:rPr>
          <w:b/>
          <w:bCs/>
          <w:sz w:val="24"/>
          <w:szCs w:val="24"/>
        </w:rPr>
        <w:t>10.2 ¿Cuándo realizar valoración cardiológica y qué seguimiento se recomienda?</w:t>
      </w:r>
    </w:p>
    <w:p w14:paraId="613F568A" w14:textId="77777777" w:rsidR="00D3731D" w:rsidRPr="00172E82" w:rsidRDefault="00D3731D" w:rsidP="00D3731D">
      <w:pPr>
        <w:spacing w:after="140"/>
        <w:jc w:val="both"/>
        <w:rPr>
          <w:i/>
          <w:iCs/>
        </w:rPr>
      </w:pPr>
      <w:r>
        <w:rPr>
          <w:i/>
          <w:iCs/>
        </w:rPr>
        <w:t>TODOS LOS PACIENTES QUE RECIBIRÁN ANTRACICLINAS, Y ESPECIALMENTE AQUELLOS CON FACTORES DE RIESGO CARDIOVASCULAR (&gt;60 AÑOS, HIPERTENSIÓN ARTERIAL, DIABETES, CARDIOPATÍA ISQUÉMICA O FEVI REDUCIDA), DEBEN SOMETERSE A UNA VALORACIÓN BASAL QUE INCLUYA ECG Y ECOCARDIOGRAMA.</w:t>
      </w:r>
      <w:r>
        <w:rPr>
          <w:i/>
          <w:iCs/>
          <w:vertAlign w:val="superscript"/>
        </w:rPr>
        <w:t>1,2</w:t>
      </w:r>
      <w:r>
        <w:rPr>
          <w:i/>
          <w:iCs/>
        </w:rPr>
        <w:t xml:space="preserve"> LA FEVI DEBE MONITORIZARSE POST-INDUCCIÓN Y PRE-AUTO-TPH.</w:t>
      </w:r>
      <w:r>
        <w:rPr>
          <w:i/>
          <w:iCs/>
          <w:vertAlign w:val="superscript"/>
        </w:rPr>
        <w:t>1,2</w:t>
      </w:r>
      <w:r>
        <w:rPr>
          <w:i/>
          <w:iCs/>
        </w:rPr>
        <w:t xml:space="preserve"> EN PACIENTES QUE RECIBEN BTKi SE RECOMIENDA ECG BASAL Y TRIMESTRAL DURANTE EL PRIMER AÑO (VIGILANCIA DE FIBRILACIÓN AURICULAR), ASÍ COMO MONITORIZACIÓN PERIÓDICA DE LA PRESIÓN ARTERIAL.</w:t>
      </w:r>
      <w:r>
        <w:rPr>
          <w:i/>
          <w:iCs/>
          <w:vertAlign w:val="superscript"/>
        </w:rPr>
        <w:t>3,4</w:t>
      </w:r>
      <w:r>
        <w:rPr>
          <w:i/>
          <w:iCs/>
        </w:rPr>
        <w:t xml:space="preserve"> LA ANTICOAGULACIÓN NO ES RUTINARIA, PERO DEBE CONSIDERARSE EN PACIENTES DE ALTO RIESGO TROMBOEMBÓLICO.</w:t>
      </w:r>
      <w:r>
        <w:rPr>
          <w:i/>
          <w:iCs/>
          <w:vertAlign w:val="superscript"/>
        </w:rPr>
        <w:t>4</w:t>
      </w:r>
    </w:p>
    <w:p w14:paraId="55E7C898" w14:textId="742163AD" w:rsidR="00D3731D" w:rsidRDefault="00D3731D" w:rsidP="00D3731D">
      <w:pPr>
        <w:spacing w:after="140"/>
        <w:jc w:val="both"/>
      </w:pPr>
      <w:r>
        <w:rPr>
          <w:b/>
          <w:bCs/>
        </w:rPr>
        <w:t xml:space="preserve">Justificación: </w:t>
      </w:r>
      <w:r>
        <w:rPr>
          <w:sz w:val="20"/>
          <w:szCs w:val="20"/>
        </w:rPr>
        <w:t>Las antraciclinas producen cardiotoxicidad de tipo I, dosis-acumulativa, con disfunción ventricular potencialmente irreversible; el riesgo de insuficiencia cardíaca oscila entre el 3 y el 5%, aumentando con la edad avanzada, la cardiopatía preexistente y la radioterapia torácica.</w:t>
      </w:r>
      <w:r>
        <w:rPr>
          <w:sz w:val="16"/>
          <w:szCs w:val="16"/>
          <w:vertAlign w:val="superscript"/>
        </w:rPr>
        <w:t>1,2</w:t>
      </w:r>
      <w:r>
        <w:rPr>
          <w:sz w:val="20"/>
          <w:szCs w:val="20"/>
        </w:rPr>
        <w:t xml:space="preserve"> El ecocardiograma basal establece la FEVI de referencia; una reducción &gt;10 puntos porcentuales con caída por debajo del 50% obliga a considerar cardioprotección con betabloqueadores e inhibidores de la ECA.</w:t>
      </w:r>
      <w:r>
        <w:rPr>
          <w:sz w:val="16"/>
          <w:szCs w:val="16"/>
          <w:vertAlign w:val="superscript"/>
        </w:rPr>
        <w:t>1,2</w:t>
      </w:r>
      <w:r>
        <w:rPr>
          <w:sz w:val="20"/>
          <w:szCs w:val="20"/>
        </w:rPr>
        <w:t xml:space="preserve"> Respecto a los BTKi, ibrutinib se asocia a fibrilación auricular en el 6–16% de los casos, en comparación con el 2–4% con acalabrutinib o zanubrutinib, y la arritmia suele manifestarse durante los primeros 6–12 meses de tratamiento.</w:t>
      </w:r>
      <w:r>
        <w:rPr>
          <w:sz w:val="16"/>
          <w:szCs w:val="16"/>
          <w:vertAlign w:val="superscript"/>
        </w:rPr>
        <w:t>3,4</w:t>
      </w:r>
      <w:r>
        <w:rPr>
          <w:sz w:val="20"/>
          <w:szCs w:val="20"/>
        </w:rPr>
        <w:t xml:space="preserve"> El ECG basal permite detectar alteraciones preexistentes (QTc prolongado, trastornos de la conducción); la monitorización trimestral identifica fibrilación auricular </w:t>
      </w:r>
      <w:r>
        <w:rPr>
          <w:sz w:val="20"/>
          <w:szCs w:val="20"/>
        </w:rPr>
        <w:lastRenderedPageBreak/>
        <w:t>asintomática y posibilita la anticoagulación oportuna.</w:t>
      </w:r>
      <w:r>
        <w:rPr>
          <w:sz w:val="16"/>
          <w:szCs w:val="16"/>
          <w:vertAlign w:val="superscript"/>
        </w:rPr>
        <w:t>3,4</w:t>
      </w:r>
      <w:r>
        <w:rPr>
          <w:sz w:val="20"/>
          <w:szCs w:val="20"/>
        </w:rPr>
        <w:t xml:space="preserve"> La hipertensión arterial ocurre en el 20–30% de los pacientes bajo BTKi y requiere control activo, preferiblemente con IECA o ARA-II.</w:t>
      </w:r>
      <w:r>
        <w:rPr>
          <w:sz w:val="16"/>
          <w:szCs w:val="16"/>
          <w:vertAlign w:val="superscript"/>
        </w:rPr>
        <w:t>3,4</w:t>
      </w:r>
    </w:p>
    <w:p w14:paraId="38074E9A" w14:textId="485BA181" w:rsidR="00D3731D" w:rsidRDefault="00D3731D" w:rsidP="00D3731D">
      <w:pPr>
        <w:spacing w:after="220"/>
        <w:jc w:val="both"/>
      </w:pPr>
      <w:r>
        <w:rPr>
          <w:b/>
          <w:bCs/>
        </w:rPr>
        <w:t xml:space="preserve">Declaración (2B): </w:t>
      </w:r>
      <w:r>
        <w:rPr>
          <w:sz w:val="20"/>
          <w:szCs w:val="20"/>
        </w:rPr>
        <w:t>Realizar evaluación cardiovascular basal en todos los pacientes (historia clínica cardiovascular detallada, ECG y ecocardiograma).</w:t>
      </w:r>
      <w:r>
        <w:rPr>
          <w:sz w:val="16"/>
          <w:szCs w:val="16"/>
          <w:vertAlign w:val="superscript"/>
        </w:rPr>
        <w:t>1,2</w:t>
      </w:r>
      <w:r>
        <w:rPr>
          <w:sz w:val="20"/>
          <w:szCs w:val="20"/>
        </w:rPr>
        <w:t xml:space="preserve"> Con antraciclinas: repetir ecocardiograma post-inducción y previo al auto-TPH; ante FEVI &lt;50% o reducción &gt;10 puntos, implementar cardioprotección y derivar a cardiología. En pacientes con alto riesgo cardiovascular (&gt;70 años, cardiopatía isquémica, FEVI 50–55%) preferir regímenes sin antraciclinas (R-bendamustina, R-BAC).</w:t>
      </w:r>
      <w:r>
        <w:rPr>
          <w:sz w:val="16"/>
          <w:szCs w:val="16"/>
          <w:vertAlign w:val="superscript"/>
        </w:rPr>
        <w:t>2</w:t>
      </w:r>
      <w:r>
        <w:rPr>
          <w:sz w:val="20"/>
          <w:szCs w:val="20"/>
        </w:rPr>
        <w:t xml:space="preserve"> Con BTKi: ECG basal, control trimestral durante el primer año y semestral posteriormente; medición de presión arterial en cada visita y manejo antihipertensivo según necesidad (IECA/ARA-II de primera línea).</w:t>
      </w:r>
      <w:r>
        <w:rPr>
          <w:sz w:val="16"/>
          <w:szCs w:val="16"/>
          <w:vertAlign w:val="superscript"/>
        </w:rPr>
        <w:t>3,4</w:t>
      </w:r>
      <w:r>
        <w:rPr>
          <w:sz w:val="20"/>
          <w:szCs w:val="20"/>
        </w:rPr>
        <w:t xml:space="preserve"> Calcular puntaje CHA</w:t>
      </w:r>
      <w:r>
        <w:rPr>
          <w:rFonts w:ascii="Cambria Math" w:hAnsi="Cambria Math" w:cs="Cambria Math"/>
          <w:sz w:val="20"/>
          <w:szCs w:val="20"/>
        </w:rPr>
        <w:t>₂</w:t>
      </w:r>
      <w:r>
        <w:rPr>
          <w:sz w:val="20"/>
          <w:szCs w:val="20"/>
        </w:rPr>
        <w:t>DS</w:t>
      </w:r>
      <w:r>
        <w:rPr>
          <w:rFonts w:ascii="Cambria Math" w:hAnsi="Cambria Math" w:cs="Cambria Math"/>
          <w:sz w:val="20"/>
          <w:szCs w:val="20"/>
        </w:rPr>
        <w:t>₂</w:t>
      </w:r>
      <w:r>
        <w:rPr>
          <w:sz w:val="20"/>
          <w:szCs w:val="20"/>
        </w:rPr>
        <w:t>-VASc e iniciar anticoagulación si se documenta fibrilación auricular o el puntaje es ≥2. Educar al paciente sobre síntomas sugestivos de arritmia. Manejar en equipo multidisciplinario con cardiología.</w:t>
      </w:r>
      <w:r>
        <w:rPr>
          <w:sz w:val="16"/>
          <w:szCs w:val="16"/>
          <w:vertAlign w:val="superscript"/>
        </w:rPr>
        <w:t>3,4</w:t>
      </w:r>
    </w:p>
    <w:p w14:paraId="0B5F4C8E" w14:textId="77777777" w:rsidR="00D3731D" w:rsidRPr="008977FB" w:rsidRDefault="00D3731D" w:rsidP="00D3731D">
      <w:pPr>
        <w:spacing w:before="300" w:after="140"/>
        <w:jc w:val="both"/>
        <w:rPr>
          <w:sz w:val="32"/>
          <w:szCs w:val="32"/>
        </w:rPr>
      </w:pPr>
      <w:r>
        <w:rPr>
          <w:b/>
          <w:bCs/>
          <w:sz w:val="24"/>
          <w:szCs w:val="24"/>
        </w:rPr>
        <w:t>10.3 ¿Cómo manejar la toxicidad cardiovascular por BTKi en pacientes mayores?</w:t>
      </w:r>
    </w:p>
    <w:p w14:paraId="6208988F" w14:textId="77777777" w:rsidR="00D3731D" w:rsidRPr="00172E82" w:rsidRDefault="00D3731D" w:rsidP="00D3731D">
      <w:pPr>
        <w:spacing w:after="140"/>
        <w:jc w:val="both"/>
        <w:rPr>
          <w:i/>
          <w:iCs/>
        </w:rPr>
      </w:pPr>
      <w:r>
        <w:rPr>
          <w:i/>
          <w:iCs/>
        </w:rPr>
        <w:t>FIBRILACIÓN AURICULAR: SUSPENSIÓN TEMPORAL DEL BTKi (1–2 SEMANAS), ANTICOAGULACIÓN SEGÚN CHA</w:t>
      </w:r>
      <w:r>
        <w:rPr>
          <w:rFonts w:ascii="Cambria Math" w:hAnsi="Cambria Math" w:cs="Cambria Math"/>
          <w:i/>
          <w:iCs/>
        </w:rPr>
        <w:t>₂</w:t>
      </w:r>
      <w:r>
        <w:rPr>
          <w:i/>
          <w:iCs/>
        </w:rPr>
        <w:t>DS</w:t>
      </w:r>
      <w:r>
        <w:rPr>
          <w:rFonts w:ascii="Cambria Math" w:hAnsi="Cambria Math" w:cs="Cambria Math"/>
          <w:i/>
          <w:iCs/>
        </w:rPr>
        <w:t>₂</w:t>
      </w:r>
      <w:r>
        <w:rPr>
          <w:i/>
          <w:iCs/>
        </w:rPr>
        <w:t>-VASc, CARDIOVERSIÓN EN CASOS SINTOMÁTICOS, Y REINICIO O SUSTITUCIÓN POR ACALABRUTINIB/ZANUBRUTINIB.</w:t>
      </w:r>
      <w:r>
        <w:rPr>
          <w:i/>
          <w:iCs/>
          <w:vertAlign w:val="superscript"/>
        </w:rPr>
        <w:t>3,4</w:t>
      </w:r>
      <w:r>
        <w:rPr>
          <w:i/>
          <w:iCs/>
        </w:rPr>
        <w:t xml:space="preserve"> HIPERTENSIÓN ARTERIAL: INICIO DE ANTIHIPERTENSIVOS (IECA/ARA-II DE PRIMERA LÍNEA), META &lt;140/90 mmHg, MANTENIENDO EL BTKi.</w:t>
      </w:r>
      <w:r>
        <w:rPr>
          <w:i/>
          <w:iCs/>
          <w:vertAlign w:val="superscript"/>
        </w:rPr>
        <w:t>3,4</w:t>
      </w:r>
      <w:r>
        <w:rPr>
          <w:i/>
          <w:iCs/>
        </w:rPr>
        <w:t xml:space="preserve"> SANGRADO: SUSPENSIÓN TEMPORAL (3–7 DÍAS ANTES DE PROCEDIMIENTOS), MANEJO LOCAL Y EVITAR AINEs.</w:t>
      </w:r>
      <w:r>
        <w:rPr>
          <w:i/>
          <w:iCs/>
          <w:vertAlign w:val="superscript"/>
        </w:rPr>
        <w:t>4</w:t>
      </w:r>
      <w:r>
        <w:rPr>
          <w:i/>
          <w:iCs/>
        </w:rPr>
        <w:t xml:space="preserve"> EN PACIENTES MAYORES FRÁGILES (&gt;75–80 AÑOS): CONSIDERAR REDUCCIÓN DE DOSIS O CAMBIO A BTKi DE SEGUNDA GENERACIÓN.</w:t>
      </w:r>
      <w:r>
        <w:rPr>
          <w:i/>
          <w:iCs/>
          <w:vertAlign w:val="superscript"/>
        </w:rPr>
        <w:t>3,4</w:t>
      </w:r>
    </w:p>
    <w:p w14:paraId="7ED18FE5" w14:textId="0F0347C8" w:rsidR="00D3731D" w:rsidRDefault="00D3731D" w:rsidP="00D3731D">
      <w:pPr>
        <w:spacing w:after="140"/>
        <w:jc w:val="both"/>
      </w:pPr>
      <w:r>
        <w:rPr>
          <w:b/>
          <w:bCs/>
        </w:rPr>
        <w:t xml:space="preserve">Justificación: </w:t>
      </w:r>
      <w:r>
        <w:rPr>
          <w:sz w:val="20"/>
          <w:szCs w:val="20"/>
        </w:rPr>
        <w:t>La fibrilación auricular aparece típicamente en los primeros 6–12 meses; su manejo incluye suspensión transitoria del BTKi por 1–2 semanas, inicio de anticoagulación (apixabán 5 mg cada 12 h o rivaroxabán 20 mg/día), cardioversión eléctrica si hay compromiso hemodinámico, y control de la frecuencia ventricular con betabloqueadores. Posteriormente se puede reiniciar el mismo BTKi o cambiar a acalabrutinib/zanubrutinib; la anticoagulación debe mantenerse indefinidamente si el CHA</w:t>
      </w:r>
      <w:r>
        <w:rPr>
          <w:rFonts w:ascii="Cambria Math" w:hAnsi="Cambria Math" w:cs="Cambria Math"/>
          <w:sz w:val="20"/>
          <w:szCs w:val="20"/>
        </w:rPr>
        <w:t>₂</w:t>
      </w:r>
      <w:r>
        <w:rPr>
          <w:sz w:val="20"/>
          <w:szCs w:val="20"/>
        </w:rPr>
        <w:t>DS</w:t>
      </w:r>
      <w:r>
        <w:rPr>
          <w:rFonts w:ascii="Cambria Math" w:hAnsi="Cambria Math" w:cs="Cambria Math"/>
          <w:sz w:val="20"/>
          <w:szCs w:val="20"/>
        </w:rPr>
        <w:t>₂</w:t>
      </w:r>
      <w:r>
        <w:rPr>
          <w:sz w:val="20"/>
          <w:szCs w:val="20"/>
        </w:rPr>
        <w:t>-VASc es ≥2.</w:t>
      </w:r>
      <w:r>
        <w:rPr>
          <w:sz w:val="16"/>
          <w:szCs w:val="16"/>
          <w:vertAlign w:val="superscript"/>
        </w:rPr>
        <w:t>3,4</w:t>
      </w:r>
      <w:r>
        <w:rPr>
          <w:sz w:val="20"/>
          <w:szCs w:val="20"/>
        </w:rPr>
        <w:t xml:space="preserve"> La hipertensión arterial afecta al 20–30% de los pacientes con ibrutinib; el manejo incluye monitorización domiciliaria, meta tensional &lt;140/90 mmHg, e inicio de IECA (enalapril 5–20 mg o lisinopril 10–40 mg) o ARA-II (losartán 50–100 mg/día) como primera línea, amlodipina como segunda opción e hidroclorotiazida como tercera; la suspensión del BTKi por hipertensión aislada es infrecuente.</w:t>
      </w:r>
      <w:r>
        <w:rPr>
          <w:sz w:val="16"/>
          <w:szCs w:val="16"/>
          <w:vertAlign w:val="superscript"/>
        </w:rPr>
        <w:t>3,4</w:t>
      </w:r>
      <w:r>
        <w:rPr>
          <w:sz w:val="20"/>
          <w:szCs w:val="20"/>
        </w:rPr>
        <w:t xml:space="preserve"> El sangrado suele ser leve (equimosis, epistaxis); se recomienda suspender el BTKi 3–7 días antes de procedimientos invasivos y reiniciarlo a las 24–48 h; el sangrado mayor constituye indicación de suspensión definitiva.</w:t>
      </w:r>
      <w:r>
        <w:rPr>
          <w:sz w:val="16"/>
          <w:szCs w:val="16"/>
          <w:vertAlign w:val="superscript"/>
        </w:rPr>
        <w:t>4</w:t>
      </w:r>
      <w:r>
        <w:rPr>
          <w:sz w:val="20"/>
          <w:szCs w:val="20"/>
        </w:rPr>
        <w:t xml:space="preserve"> En pacientes frágiles mayores de 75–80 años, conviene considerar dosis reducidas de ibrutinib (280–420 mg/día) o privilegiar acalabrutinib/zanubrutinib por su mejor perfil de tolerabilidad cardiovascular.</w:t>
      </w:r>
      <w:r>
        <w:rPr>
          <w:sz w:val="16"/>
          <w:szCs w:val="16"/>
          <w:vertAlign w:val="superscript"/>
        </w:rPr>
        <w:t>3,4</w:t>
      </w:r>
    </w:p>
    <w:p w14:paraId="488A3E40" w14:textId="6D2BA88F" w:rsidR="00D3731D" w:rsidRDefault="00D3731D" w:rsidP="00D3731D">
      <w:pPr>
        <w:spacing w:after="220"/>
        <w:jc w:val="both"/>
      </w:pPr>
      <w:r>
        <w:rPr>
          <w:b/>
          <w:bCs/>
        </w:rPr>
        <w:t xml:space="preserve">Declaración (2B):  </w:t>
      </w:r>
      <w:r>
        <w:rPr>
          <w:sz w:val="20"/>
          <w:szCs w:val="20"/>
        </w:rPr>
        <w:t>Establecer monitorización cardiovascular proactiva: ECG trimestral, medición de presión arterial en cada visita y educación del paciente.</w:t>
      </w:r>
      <w:r>
        <w:rPr>
          <w:sz w:val="16"/>
          <w:szCs w:val="16"/>
          <w:vertAlign w:val="superscript"/>
        </w:rPr>
        <w:t>3,4</w:t>
      </w:r>
      <w:r>
        <w:rPr>
          <w:sz w:val="20"/>
          <w:szCs w:val="20"/>
        </w:rPr>
        <w:t xml:space="preserve"> Ante fibrilación auricular nueva: suspender BTKi, anticoagular según CHA</w:t>
      </w:r>
      <w:r>
        <w:rPr>
          <w:rFonts w:ascii="Cambria Math" w:hAnsi="Cambria Math" w:cs="Cambria Math"/>
          <w:sz w:val="20"/>
          <w:szCs w:val="20"/>
        </w:rPr>
        <w:t>₂</w:t>
      </w:r>
      <w:r>
        <w:rPr>
          <w:sz w:val="20"/>
          <w:szCs w:val="20"/>
        </w:rPr>
        <w:t>DS</w:t>
      </w:r>
      <w:r>
        <w:rPr>
          <w:rFonts w:ascii="Cambria Math" w:hAnsi="Cambria Math" w:cs="Cambria Math"/>
          <w:sz w:val="20"/>
          <w:szCs w:val="20"/>
        </w:rPr>
        <w:t>₂</w:t>
      </w:r>
      <w:r>
        <w:rPr>
          <w:sz w:val="20"/>
          <w:szCs w:val="20"/>
        </w:rPr>
        <w:t>-VASc, cardiovertir si hay sintomatología significativa, reiniciar tras 1–2 semanas o cambiar a acalabrutinib/zanubrutinib, y mantener anticoagulación indefinida.</w:t>
      </w:r>
      <w:r>
        <w:rPr>
          <w:sz w:val="16"/>
          <w:szCs w:val="16"/>
          <w:vertAlign w:val="superscript"/>
        </w:rPr>
        <w:t>3,4</w:t>
      </w:r>
      <w:r>
        <w:rPr>
          <w:sz w:val="20"/>
          <w:szCs w:val="20"/>
        </w:rPr>
        <w:t xml:space="preserve"> Ante hipertensión arterial: iniciar antihipertensivos (IECA/ARA-II de primera línea, amlodipina de segunda, hidroclorotiazida de tercera) manteniendo el BTKi.</w:t>
      </w:r>
      <w:r>
        <w:rPr>
          <w:sz w:val="16"/>
          <w:szCs w:val="16"/>
          <w:vertAlign w:val="superscript"/>
        </w:rPr>
        <w:t>3,4</w:t>
      </w:r>
      <w:r>
        <w:rPr>
          <w:sz w:val="20"/>
          <w:szCs w:val="20"/>
        </w:rPr>
        <w:t xml:space="preserve"> Ante sangrado menor: manejo local, evitar AINEs, suspensión pre-procedimiento (3–7 días) y reinicio a las 24–48 h; ante sangrado mayor: suspensión definitiva.</w:t>
      </w:r>
      <w:r>
        <w:rPr>
          <w:sz w:val="16"/>
          <w:szCs w:val="16"/>
          <w:vertAlign w:val="superscript"/>
        </w:rPr>
        <w:t>4</w:t>
      </w:r>
      <w:r>
        <w:rPr>
          <w:sz w:val="20"/>
          <w:szCs w:val="20"/>
        </w:rPr>
        <w:t xml:space="preserve"> En pacientes mayores frágiles: reducir dosis de ibrutinib (280–420 mg/día) o preferir BTKi de segunda generación. El manejo debe ser multidisciplinario con cardiología; las suspensiones breves (&lt;2 semanas) raramente comprometen la eficacia oncológica; la discontinuación definitiva solo se justifica ante sangrado mayor o fibrilación auricular refractaria.</w:t>
      </w:r>
      <w:r>
        <w:rPr>
          <w:sz w:val="16"/>
          <w:szCs w:val="16"/>
          <w:vertAlign w:val="superscript"/>
        </w:rPr>
        <w:t>3,4</w:t>
      </w:r>
    </w:p>
    <w:p w14:paraId="7A82F30A" w14:textId="77777777" w:rsidR="00D3731D" w:rsidRPr="008977FB" w:rsidRDefault="00D3731D" w:rsidP="00D3731D">
      <w:pPr>
        <w:spacing w:before="300" w:after="140"/>
        <w:jc w:val="both"/>
        <w:rPr>
          <w:sz w:val="32"/>
          <w:szCs w:val="32"/>
        </w:rPr>
      </w:pPr>
      <w:r>
        <w:rPr>
          <w:b/>
          <w:bCs/>
          <w:sz w:val="24"/>
          <w:szCs w:val="24"/>
        </w:rPr>
        <w:lastRenderedPageBreak/>
        <w:t>10.4 ¿Cuáles son las estrategias de inmunización y profilaxis infecciosa en pacientes que reciben BTKi?</w:t>
      </w:r>
    </w:p>
    <w:p w14:paraId="0CB2C604" w14:textId="77777777" w:rsidR="00D3731D" w:rsidRPr="00172E82" w:rsidRDefault="00D3731D" w:rsidP="00D3731D">
      <w:pPr>
        <w:spacing w:after="140"/>
        <w:jc w:val="both"/>
        <w:rPr>
          <w:i/>
          <w:iCs/>
        </w:rPr>
      </w:pPr>
      <w:r>
        <w:rPr>
          <w:i/>
          <w:iCs/>
        </w:rPr>
        <w:t>LA VACUNACIÓN DEBE REALIZARSE PREFERENTEMENTE ANTES DEL INICIO DEL BTKi, YA QUE ESTOS AGENTES COMPROMETEN LA RESPUESTA HUMORAL.</w:t>
      </w:r>
      <w:r>
        <w:rPr>
          <w:i/>
          <w:iCs/>
          <w:vertAlign w:val="superscript"/>
        </w:rPr>
        <w:t>7</w:t>
      </w:r>
      <w:r>
        <w:rPr>
          <w:i/>
          <w:iCs/>
        </w:rPr>
        <w:t xml:space="preserve"> SE RECOMIENDAN: INFLUENZA ANUAL (VACUNA INACTIVADA),</w:t>
      </w:r>
      <w:r>
        <w:rPr>
          <w:i/>
          <w:iCs/>
          <w:vertAlign w:val="superscript"/>
        </w:rPr>
        <w:t>7</w:t>
      </w:r>
      <w:r>
        <w:rPr>
          <w:i/>
          <w:iCs/>
        </w:rPr>
        <w:t xml:space="preserve"> NEUMOCOCO (PCV20 ÚNICA O SECUENCIA PCV15 + PPSV23),</w:t>
      </w:r>
      <w:r>
        <w:rPr>
          <w:i/>
          <w:iCs/>
          <w:vertAlign w:val="superscript"/>
        </w:rPr>
        <w:t>7</w:t>
      </w:r>
      <w:r>
        <w:rPr>
          <w:i/>
          <w:iCs/>
        </w:rPr>
        <w:t xml:space="preserve"> COVID-19 (ESQUEMA COMPLETO MÁS REFUERZOS)</w:t>
      </w:r>
      <w:r>
        <w:rPr>
          <w:i/>
          <w:iCs/>
          <w:vertAlign w:val="superscript"/>
        </w:rPr>
        <w:t>8</w:t>
      </w:r>
      <w:r>
        <w:rPr>
          <w:i/>
          <w:iCs/>
        </w:rPr>
        <w:t xml:space="preserve"> Y HERPES ZÓSTER RECOMBINANTE (SHINGRIX, 2 DOSIS) ANTES DEL INICIO DEL BTKi.</w:t>
      </w:r>
      <w:r>
        <w:rPr>
          <w:i/>
          <w:iCs/>
          <w:vertAlign w:val="superscript"/>
        </w:rPr>
        <w:t>7,9</w:t>
      </w:r>
      <w:r>
        <w:rPr>
          <w:i/>
          <w:iCs/>
        </w:rPr>
        <w:t xml:space="preserve"> LA PROFILAXIS ANTIINFECCIOSA ES SELECTIVA: ACICLOVIR/VALACICLOVIR PARA HERPES ZÓSTER EN PACIENTES DE ALTO RIESGO,</w:t>
      </w:r>
      <w:r>
        <w:rPr>
          <w:i/>
          <w:iCs/>
          <w:vertAlign w:val="superscript"/>
        </w:rPr>
        <w:t>9</w:t>
      </w:r>
      <w:r>
        <w:rPr>
          <w:i/>
          <w:iCs/>
        </w:rPr>
        <w:t xml:space="preserve"> TMP-SMX PARA PNEUMOCYSTIS JIROVECII SOLO ANTE FACTORES ADICIONALES (CORTICOSTEROIDES ≥20 mg ≥1 MES O CD4+ &lt;200 CÉLULAS/µL).</w:t>
      </w:r>
      <w:r>
        <w:rPr>
          <w:i/>
          <w:iCs/>
          <w:vertAlign w:val="superscript"/>
        </w:rPr>
        <w:t>10</w:t>
      </w:r>
      <w:r>
        <w:rPr>
          <w:i/>
          <w:iCs/>
        </w:rPr>
        <w:t xml:space="preserve"> LAS INMUNOGLOBULINAS INTRAVENOSAS ESTÁN INDICADAS ANTE HIPOGAMMAGLOBULINEMIA SINTOMÁTICA (IgG &lt;400 mg/dL) E INFECCIONES BACTERIANAS RECURRENTES.</w:t>
      </w:r>
      <w:r>
        <w:rPr>
          <w:i/>
          <w:iCs/>
          <w:vertAlign w:val="superscript"/>
        </w:rPr>
        <w:t>11</w:t>
      </w:r>
    </w:p>
    <w:p w14:paraId="416332D6" w14:textId="0CA5C91D" w:rsidR="00D3731D" w:rsidRDefault="00D3731D" w:rsidP="00D3731D">
      <w:pPr>
        <w:spacing w:after="140"/>
        <w:jc w:val="both"/>
      </w:pPr>
      <w:r>
        <w:rPr>
          <w:b/>
          <w:bCs/>
        </w:rPr>
        <w:t xml:space="preserve">Justificación: </w:t>
      </w:r>
      <w:r>
        <w:rPr>
          <w:sz w:val="20"/>
          <w:szCs w:val="20"/>
        </w:rPr>
        <w:t>Los BTKi comprometen la respuesta humoral; la seroconversión post-vacunal es del 30–50% en comparación con &gt;80% en controles sanos, aunque aun así confiere protección parcial clínicamente relevante.</w:t>
      </w:r>
      <w:r>
        <w:rPr>
          <w:sz w:val="16"/>
          <w:szCs w:val="16"/>
          <w:vertAlign w:val="superscript"/>
        </w:rPr>
        <w:t>7</w:t>
      </w:r>
      <w:r>
        <w:rPr>
          <w:sz w:val="20"/>
          <w:szCs w:val="20"/>
        </w:rPr>
        <w:t xml:space="preserve"> El momento óptimo para vacunar es antes del inicio del BTKi (idealmente &gt;2 semanas previas); si el tratamiento ya se ha iniciado, la vacunación sigue siendo recomendable, reconociendo la respuesta subóptima.</w:t>
      </w:r>
      <w:r>
        <w:rPr>
          <w:sz w:val="16"/>
          <w:szCs w:val="16"/>
          <w:vertAlign w:val="superscript"/>
        </w:rPr>
        <w:t>7</w:t>
      </w:r>
      <w:r>
        <w:rPr>
          <w:sz w:val="20"/>
          <w:szCs w:val="20"/>
        </w:rPr>
        <w:t xml:space="preserve"> El esquema vacunal recomendado incluye: influenza inactivada anualmente (nunca viva atenuada); PCV20 en dosis única o PCV15 seguida de PPSV23 a las 8 semanas; COVID-19 con esquema primario completo y refuerzos;</w:t>
      </w:r>
      <w:r>
        <w:rPr>
          <w:sz w:val="16"/>
          <w:szCs w:val="16"/>
          <w:vertAlign w:val="superscript"/>
        </w:rPr>
        <w:t>7,8</w:t>
      </w:r>
      <w:r>
        <w:rPr>
          <w:sz w:val="20"/>
          <w:szCs w:val="20"/>
        </w:rPr>
        <w:t xml:space="preserve"> herpes zóster recombinante (Shingrix, 2 dosis) idealmente antes del BTKi, ya que Zostavax (viva) está contraindicada; hepatitis B si el paciente no es inmune.</w:t>
      </w:r>
      <w:r>
        <w:rPr>
          <w:sz w:val="16"/>
          <w:szCs w:val="16"/>
          <w:vertAlign w:val="superscript"/>
        </w:rPr>
        <w:t>7,9</w:t>
      </w:r>
      <w:r>
        <w:rPr>
          <w:sz w:val="20"/>
          <w:szCs w:val="20"/>
        </w:rPr>
        <w:t xml:space="preserve"> En cuanto a la profilaxis antiinfecciosa selectiva: el herpes zóster ocurre en el 10–15% de los pacientes en los primeros 6–12 meses de BTKi, lo que justifica profilaxis con aciclovir 400 mg dos veces al día o valaciclovir 500 mg/día en pacientes de alto riesgo (antecedente de herpes, &gt;65 años, no vacunados).</w:t>
      </w:r>
      <w:r>
        <w:rPr>
          <w:sz w:val="16"/>
          <w:szCs w:val="16"/>
          <w:vertAlign w:val="superscript"/>
        </w:rPr>
        <w:t>9</w:t>
      </w:r>
      <w:r>
        <w:rPr>
          <w:sz w:val="20"/>
          <w:szCs w:val="20"/>
        </w:rPr>
        <w:t xml:space="preserve"> Pneumocystis jirovecii es infrecuente con BTKi en monoterapia, pero el riesgo aumenta considerablemente con el uso concomitante de corticosteroides (≥20 mg de prednisona durante ≥1 mes) o ante CD4+ &lt;200 células/µL, situación en la que se justifica profilaxis con TMP-SMX 160/800 mg tres veces por semana.</w:t>
      </w:r>
      <w:r>
        <w:rPr>
          <w:sz w:val="16"/>
          <w:szCs w:val="16"/>
          <w:vertAlign w:val="superscript"/>
        </w:rPr>
        <w:t>10</w:t>
      </w:r>
      <w:r>
        <w:rPr>
          <w:sz w:val="20"/>
          <w:szCs w:val="20"/>
        </w:rPr>
        <w:t xml:space="preserve"> La hipogammaglobulinemia ocurre en el 20–30% de los pacientes con uso prolongado de BTKi (IgG &lt;400–500 mg/dL); la sustitución con IVIG (400 mg/kg cada 3–4 semanas) está indicada ante infecciones bacterianas recurrentes (≥2 episodios anuales) a pesar de la vacunación optimizada.</w:t>
      </w:r>
      <w:r>
        <w:rPr>
          <w:sz w:val="16"/>
          <w:szCs w:val="16"/>
          <w:vertAlign w:val="superscript"/>
        </w:rPr>
        <w:t>11</w:t>
      </w:r>
    </w:p>
    <w:p w14:paraId="15A21C1A" w14:textId="7CEC7A4D" w:rsidR="00D3731D" w:rsidRDefault="00D3731D" w:rsidP="00D3731D">
      <w:pPr>
        <w:spacing w:after="220"/>
        <w:jc w:val="both"/>
      </w:pPr>
      <w:r>
        <w:rPr>
          <w:b/>
          <w:bCs/>
        </w:rPr>
        <w:t xml:space="preserve">Declaración (2B):  </w:t>
      </w:r>
      <w:r>
        <w:rPr>
          <w:sz w:val="20"/>
          <w:szCs w:val="20"/>
        </w:rPr>
        <w:t>Vacunar preferentemente antes del inicio del BTKi con: influenza inactivada anual, PCV20 (o secuencia PCV15 + PPSV23), COVID-19 con esquema completo y refuerzos, y herpes zóster recombinante (Shingrix, 2 dosis);</w:t>
      </w:r>
      <w:r>
        <w:rPr>
          <w:sz w:val="16"/>
          <w:szCs w:val="16"/>
          <w:vertAlign w:val="superscript"/>
        </w:rPr>
        <w:t>7,8,9</w:t>
      </w:r>
      <w:r>
        <w:rPr>
          <w:sz w:val="20"/>
          <w:szCs w:val="20"/>
        </w:rPr>
        <w:t xml:space="preserve"> si el BTKi ya se inició, vacunar igualmente reconociendo la respuesta subóptima. Evitar en todo momento las vacunas vivas (influenza intranasal, Zostavax, MMR, varicela).</w:t>
      </w:r>
      <w:r>
        <w:rPr>
          <w:sz w:val="16"/>
          <w:szCs w:val="16"/>
          <w:vertAlign w:val="superscript"/>
        </w:rPr>
        <w:t>7</w:t>
      </w:r>
      <w:r>
        <w:rPr>
          <w:sz w:val="20"/>
          <w:szCs w:val="20"/>
        </w:rPr>
        <w:t xml:space="preserve"> Profilaxis antiviral selectiva con aciclovir 400 mg BID o valaciclovir 500 mg/día para herpes zóster en pacientes de alto riesgo (&gt;65 años, antecedente de herpes, no vacunados).</w:t>
      </w:r>
      <w:r>
        <w:rPr>
          <w:sz w:val="16"/>
          <w:szCs w:val="16"/>
          <w:vertAlign w:val="superscript"/>
        </w:rPr>
        <w:t>9</w:t>
      </w:r>
      <w:r>
        <w:rPr>
          <w:sz w:val="20"/>
          <w:szCs w:val="20"/>
        </w:rPr>
        <w:t xml:space="preserve"> Profilaxis con TMP-SMX 160/800 mg tres veces por semana para Pneumocystis jirovecii solo ante corticosteroides ≥20 mg/día durante ≥1 mes o CD4+ &lt;200 células/µL.</w:t>
      </w:r>
      <w:r>
        <w:rPr>
          <w:sz w:val="16"/>
          <w:szCs w:val="16"/>
          <w:vertAlign w:val="superscript"/>
        </w:rPr>
        <w:t>10</w:t>
      </w:r>
      <w:r>
        <w:rPr>
          <w:sz w:val="20"/>
          <w:szCs w:val="20"/>
        </w:rPr>
        <w:t xml:space="preserve"> Medir niveles de inmunoglobulinas al inicio y cada 6–12 meses; iniciar IVIG (400 mg/kg cada 3–4 semanas) si IgG &lt;400 mg/dL con infecciones bacterianas recurrentes (≥2/año).</w:t>
      </w:r>
      <w:r>
        <w:rPr>
          <w:sz w:val="16"/>
          <w:szCs w:val="16"/>
          <w:vertAlign w:val="superscript"/>
        </w:rPr>
        <w:t>11</w:t>
      </w:r>
      <w:r>
        <w:rPr>
          <w:sz w:val="20"/>
          <w:szCs w:val="20"/>
        </w:rPr>
        <w:t xml:space="preserve"> Educar al paciente sobre síntomas de alarma infecciosa y la importancia de la consulta precoz. En América Latina, priorizar las vacunas esenciales (influenza, neumococo, COVID-19) ante la disponibilidad variable de Shingrix, y considerar profilaxis antiviral como alternativa.</w:t>
      </w:r>
      <w:r>
        <w:rPr>
          <w:sz w:val="16"/>
          <w:szCs w:val="16"/>
          <w:vertAlign w:val="superscript"/>
        </w:rPr>
        <w:t>7,8</w:t>
      </w:r>
    </w:p>
    <w:p w14:paraId="071CDB8E" w14:textId="77777777" w:rsidR="00D3731D" w:rsidRPr="008977FB" w:rsidRDefault="00D3731D" w:rsidP="00D3731D">
      <w:pPr>
        <w:spacing w:before="300" w:after="140"/>
        <w:jc w:val="both"/>
        <w:rPr>
          <w:sz w:val="32"/>
          <w:szCs w:val="32"/>
        </w:rPr>
      </w:pPr>
      <w:r>
        <w:rPr>
          <w:b/>
          <w:bCs/>
          <w:sz w:val="24"/>
          <w:szCs w:val="24"/>
        </w:rPr>
        <w:t>10.5 ¿Son intercambiables los distintos inhibidores de BTK?</w:t>
      </w:r>
    </w:p>
    <w:p w14:paraId="791F7C59" w14:textId="77777777" w:rsidR="00D3731D" w:rsidRPr="00172E82" w:rsidRDefault="00D3731D" w:rsidP="00D3731D">
      <w:pPr>
        <w:spacing w:after="140"/>
        <w:jc w:val="both"/>
        <w:rPr>
          <w:i/>
          <w:iCs/>
        </w:rPr>
      </w:pPr>
      <w:r>
        <w:rPr>
          <w:i/>
          <w:iCs/>
        </w:rPr>
        <w:lastRenderedPageBreak/>
        <w:t>LOS BTKi COVALENTES (IBRUTINIB, ACALABRUTINIB, ZANUBRUTINIB) NO SON FORMALMENTE INTERCAMBIABLES ENTRE SÍ, DADO QUE DIFIEREN EN SU PERFIL DE TOXICIDAD Y NO EXISTEN ESTUDIOS COMPARATIVOS DIRECTOS EN LCM.</w:t>
      </w:r>
      <w:r>
        <w:rPr>
          <w:i/>
          <w:iCs/>
          <w:vertAlign w:val="superscript"/>
        </w:rPr>
        <w:t>3,4,12</w:t>
      </w:r>
      <w:r>
        <w:rPr>
          <w:i/>
          <w:iCs/>
        </w:rPr>
        <w:t xml:space="preserve"> LA SELECCIÓN DEBE BASARSE EN LAS COMORBILIDADES, EL PERFIL DE EVENTOS ADVERSOS ESPERADOS, LA DISPONIBILIDAD Y EL COSTO. ACALABRUTINIB Y ZANUBRUTINIB PRESENTAN MENOR INCIDENCIA DE FIBRILACIÓN AURICULAR E HIPERTENSIÓN QUE IBRUTINIB.</w:t>
      </w:r>
      <w:r>
        <w:rPr>
          <w:i/>
          <w:iCs/>
          <w:vertAlign w:val="superscript"/>
        </w:rPr>
        <w:t>3,4</w:t>
      </w:r>
      <w:r>
        <w:rPr>
          <w:i/>
          <w:iCs/>
        </w:rPr>
        <w:t xml:space="preserve"> PIRTOBRUTINIB (BTKi NO COVALENTE) NO ES INTERCAMBIABLE CON LOS COVALENTES Y DEBE RESERVARSE EXCLUSIVAMENTE PARA PACIENTES CON PROGRESIÓN TRAS UN BTKi COVALENTE.</w:t>
      </w:r>
      <w:r>
        <w:rPr>
          <w:i/>
          <w:iCs/>
          <w:vertAlign w:val="superscript"/>
        </w:rPr>
        <w:t>12</w:t>
      </w:r>
    </w:p>
    <w:p w14:paraId="47F25127" w14:textId="309DBB23" w:rsidR="00D3731D" w:rsidRDefault="00D3731D" w:rsidP="00D3731D">
      <w:pPr>
        <w:spacing w:after="140"/>
        <w:jc w:val="both"/>
      </w:pPr>
      <w:r>
        <w:rPr>
          <w:b/>
          <w:bCs/>
        </w:rPr>
        <w:t xml:space="preserve">Justificación: </w:t>
      </w:r>
      <w:r>
        <w:rPr>
          <w:sz w:val="20"/>
          <w:szCs w:val="20"/>
        </w:rPr>
        <w:t>Los BTKi covalentes comparten el mecanismo de unión irreversible a la cisteína 481 de la BTK, pero difieren en su selectividad. Ibrutinib inhibe múltiples quinasas fuera del blanco (EGFR, ITK, TEC), lo que contribuye a su perfil de toxicidades; acalabrutinib y zanubrutinib presentan mayor selectividad, con menor incidencia de fibrilación auricular (2–4% frente a 6–16%) e hipertensión arterial (9–12% frente a 20–30%).</w:t>
      </w:r>
      <w:r>
        <w:rPr>
          <w:sz w:val="16"/>
          <w:szCs w:val="16"/>
          <w:vertAlign w:val="superscript"/>
        </w:rPr>
        <w:t>3,4</w:t>
      </w:r>
      <w:r>
        <w:rPr>
          <w:sz w:val="20"/>
          <w:szCs w:val="20"/>
        </w:rPr>
        <w:t xml:space="preserve"> Los estudios ELEVATE-RR y ALPINE en leucemia linfocítica crónica demostraron eficacia comparable entre generaciones con mejor tolerabilidad cardiovascular para los agentes de segunda generación; no existen estudios comparativos directos en LCM.</w:t>
      </w:r>
      <w:r>
        <w:rPr>
          <w:sz w:val="16"/>
          <w:szCs w:val="16"/>
          <w:vertAlign w:val="superscript"/>
        </w:rPr>
        <w:t>3,4</w:t>
      </w:r>
      <w:r>
        <w:rPr>
          <w:sz w:val="20"/>
          <w:szCs w:val="20"/>
        </w:rPr>
        <w:t xml:space="preserve"> La selección debe guiarse por: riesgo cardiovascular (favorece acalabrutinib/zanubrutinib), antecedente de sangrado (favorece zanubrutinib) y costo/disponibilidad en América Latina (favorece ibrutinib). El cambio entre BTKi covalentes puede realizarse por intolerancia a toxicidades específicas, sin evidencia de que mejore la eficacia oncológica si el paciente está respondiendo.</w:t>
      </w:r>
      <w:r>
        <w:rPr>
          <w:sz w:val="16"/>
          <w:szCs w:val="16"/>
          <w:vertAlign w:val="superscript"/>
        </w:rPr>
        <w:t>3,4</w:t>
      </w:r>
      <w:r>
        <w:rPr>
          <w:sz w:val="20"/>
          <w:szCs w:val="20"/>
        </w:rPr>
        <w:t xml:space="preserve"> Pirtobrutinib (BTKi no covalente) no comparte los mecanismos de resistencia adquirida a los covalentes; ha demostrado respuestas del 50–60% post-BTKi covalente, pero no es intercambiable con estos agentes y su uso debe restringirse a la progresión documentada.</w:t>
      </w:r>
      <w:r>
        <w:rPr>
          <w:sz w:val="16"/>
          <w:szCs w:val="16"/>
          <w:vertAlign w:val="superscript"/>
        </w:rPr>
        <w:t>12</w:t>
      </w:r>
    </w:p>
    <w:p w14:paraId="074CF8AE" w14:textId="16DF711C" w:rsidR="00D3731D" w:rsidRDefault="00D3731D" w:rsidP="00D3731D">
      <w:pPr>
        <w:spacing w:after="320"/>
        <w:jc w:val="both"/>
      </w:pPr>
      <w:r>
        <w:rPr>
          <w:b/>
          <w:bCs/>
        </w:rPr>
        <w:t xml:space="preserve">Declaración (2C):  </w:t>
      </w:r>
      <w:r>
        <w:rPr>
          <w:sz w:val="20"/>
          <w:szCs w:val="20"/>
        </w:rPr>
        <w:t>Seleccionar el BTKi según comorbilidades, disponibilidad y costo. Preferir acalabrutinib o zanubrutinib sobre ibrutinib en pacientes con alto riesgo cardiovascular (hipertensión arterial, fibrilación auricular previa, &gt;75 años, cardiopatía isquémica).</w:t>
      </w:r>
      <w:r>
        <w:rPr>
          <w:sz w:val="16"/>
          <w:szCs w:val="16"/>
          <w:vertAlign w:val="superscript"/>
        </w:rPr>
        <w:t>3,4</w:t>
      </w:r>
      <w:r>
        <w:rPr>
          <w:sz w:val="20"/>
          <w:szCs w:val="20"/>
        </w:rPr>
        <w:t xml:space="preserve"> Considerar el cambio de ibrutinib a acalabrutinib/zanubrutinib ante toxicidades cardiovasculares (fibrilación auricular, hipertensión refractaria) o artralgias incapacitantes, siempre que la enfermedad permanezca controlada.</w:t>
      </w:r>
      <w:r>
        <w:rPr>
          <w:sz w:val="16"/>
          <w:szCs w:val="16"/>
          <w:vertAlign w:val="superscript"/>
        </w:rPr>
        <w:t>3,4</w:t>
      </w:r>
      <w:r>
        <w:rPr>
          <w:sz w:val="20"/>
          <w:szCs w:val="20"/>
        </w:rPr>
        <w:t xml:space="preserve"> No realizar cambios sin justificación clínica. Reservar pirtobrutinib exclusivamente para la progresión post-BTKi covalente.</w:t>
      </w:r>
      <w:r>
        <w:rPr>
          <w:sz w:val="16"/>
          <w:szCs w:val="16"/>
          <w:vertAlign w:val="superscript"/>
        </w:rPr>
        <w:t>12</w:t>
      </w:r>
      <w:r>
        <w:rPr>
          <w:sz w:val="20"/>
          <w:szCs w:val="20"/>
        </w:rPr>
        <w:t xml:space="preserve"> En América Latina, ibrutinib es una opción práctica y coste-efectiva en ausencia de contraindicaciones; anticipar la disponibilidad de genéricos como oportunidad para ampliar el acceso. No intercambiar BTKi sin justificación clínica documentada.</w:t>
      </w:r>
      <w:r>
        <w:rPr>
          <w:sz w:val="16"/>
          <w:szCs w:val="16"/>
          <w:vertAlign w:val="superscript"/>
        </w:rPr>
        <w:t>3,4</w:t>
      </w:r>
    </w:p>
    <w:p w14:paraId="2EECEB20" w14:textId="77777777" w:rsidR="00D3731D" w:rsidRPr="000C6123" w:rsidRDefault="00D3731D" w:rsidP="000C6123">
      <w:pPr>
        <w:spacing w:before="60" w:after="60" w:line="260" w:lineRule="auto"/>
        <w:ind w:left="360" w:hanging="360"/>
        <w:jc w:val="both"/>
        <w:rPr>
          <w:b/>
          <w:bCs/>
          <w:color w:val="444444"/>
          <w:sz w:val="18"/>
          <w:szCs w:val="18"/>
          <w:lang w:val="es-VE"/>
        </w:rPr>
      </w:pPr>
      <w:r>
        <w:rPr>
          <w:b/>
          <w:bCs/>
          <w:color w:val="444444"/>
          <w:sz w:val="18"/>
          <w:szCs w:val="18"/>
          <w:lang w:val="es-VE"/>
        </w:rPr>
        <w:t>Bibliografía</w:t>
      </w:r>
    </w:p>
    <w:p w14:paraId="52050224" w14:textId="77777777" w:rsidR="00D3731D" w:rsidRPr="004F4119" w:rsidRDefault="00D3731D" w:rsidP="000C6123">
      <w:pPr>
        <w:spacing w:before="60" w:after="60" w:line="260" w:lineRule="auto"/>
        <w:ind w:left="360" w:hanging="360"/>
        <w:jc w:val="both"/>
        <w:rPr>
          <w:color w:val="444444"/>
          <w:sz w:val="18"/>
          <w:szCs w:val="18"/>
          <w:lang w:val="en-US"/>
        </w:rPr>
      </w:pPr>
      <w:r>
        <w:rPr>
          <w:color w:val="444444"/>
          <w:sz w:val="18"/>
          <w:szCs w:val="18"/>
          <w:lang w:val="es-VE"/>
        </w:rPr>
        <w:t xml:space="preserve">1. Lyon AR, López-Fernández T, Couch LS, et al. 2022 ESC Guidelines on cardio-oncology. </w:t>
      </w:r>
      <w:r>
        <w:rPr>
          <w:color w:val="444444"/>
          <w:sz w:val="18"/>
          <w:szCs w:val="18"/>
          <w:lang w:val="en-US"/>
        </w:rPr>
        <w:t>Eur Heart J. 2022;43(41):4229–4361. doi:10.1093/eurheartj/ehac244</w:t>
      </w:r>
    </w:p>
    <w:p w14:paraId="252FFEEA" w14:textId="77777777" w:rsidR="00D3731D" w:rsidRPr="004F4119" w:rsidRDefault="00D3731D" w:rsidP="000C6123">
      <w:pPr>
        <w:spacing w:before="60" w:after="60" w:line="260" w:lineRule="auto"/>
        <w:ind w:left="360" w:hanging="360"/>
        <w:jc w:val="both"/>
        <w:rPr>
          <w:color w:val="444444"/>
          <w:sz w:val="18"/>
          <w:szCs w:val="18"/>
          <w:lang w:val="en-US"/>
        </w:rPr>
      </w:pPr>
      <w:r>
        <w:rPr>
          <w:color w:val="444444"/>
          <w:sz w:val="18"/>
          <w:szCs w:val="18"/>
          <w:lang w:val="en-US"/>
        </w:rPr>
        <w:t>2. Camilli M, Cipolla CM, Dent S, Minotti G, Cardinale DM. Anthracycline Cardiotoxicity in Adult Cancer Patients: JACC: CardioOncology State-of-the-Art Review. JACC CardioOncol. 2024;6(5):655–677. doi:10.1016/j.jaccao.2024.07.016</w:t>
      </w:r>
    </w:p>
    <w:p w14:paraId="3D5316B3" w14:textId="77777777" w:rsidR="00D3731D" w:rsidRPr="004F4119" w:rsidRDefault="00D3731D" w:rsidP="000C6123">
      <w:pPr>
        <w:spacing w:before="60" w:after="60" w:line="260" w:lineRule="auto"/>
        <w:ind w:left="360" w:hanging="360"/>
        <w:jc w:val="both"/>
        <w:rPr>
          <w:color w:val="444444"/>
          <w:sz w:val="18"/>
          <w:szCs w:val="18"/>
          <w:lang w:val="en-US"/>
        </w:rPr>
      </w:pPr>
      <w:r>
        <w:rPr>
          <w:color w:val="444444"/>
          <w:sz w:val="18"/>
          <w:szCs w:val="18"/>
          <w:lang w:val="en-US"/>
        </w:rPr>
        <w:t>3. Raisi-Estabragh Z, Murphy AC, Ramalingam S, et al. Cardiovascular Considerations Before Cancer Therapy: Gaps in Evidence and JACC: CardioOncology Expert Panel Recommendations. JACC CardioOncol. 2024;6(5):631–654. doi:10.1016/j.jaccao.2024.07.017</w:t>
      </w:r>
    </w:p>
    <w:p w14:paraId="379A93A4" w14:textId="77777777" w:rsidR="00D3731D" w:rsidRPr="004F4119" w:rsidRDefault="00D3731D" w:rsidP="000C6123">
      <w:pPr>
        <w:spacing w:before="60" w:after="60" w:line="260" w:lineRule="auto"/>
        <w:ind w:left="360" w:hanging="360"/>
        <w:jc w:val="both"/>
        <w:rPr>
          <w:color w:val="444444"/>
          <w:sz w:val="18"/>
          <w:szCs w:val="18"/>
          <w:lang w:val="en-US"/>
        </w:rPr>
      </w:pPr>
      <w:r>
        <w:rPr>
          <w:color w:val="444444"/>
          <w:sz w:val="18"/>
          <w:szCs w:val="18"/>
          <w:lang w:val="en-US"/>
        </w:rPr>
        <w:t>4. Quartermaine C, Ghazi SM, Yasin A, et al. Cardiovascular Toxicities of BTK Inhibitors in Chronic Lymphocytic Leukemia: JACC: CardioOncology State-of-the-Art Review. JACC CardioOncol. 2023;5(5):570–590. doi:10.1016/j.jaccao.2023.09.002</w:t>
      </w:r>
    </w:p>
    <w:p w14:paraId="401EC069" w14:textId="77777777" w:rsidR="00D3731D" w:rsidRPr="000C6123" w:rsidRDefault="00D3731D" w:rsidP="000C6123">
      <w:pPr>
        <w:spacing w:before="60" w:after="60" w:line="260" w:lineRule="auto"/>
        <w:ind w:left="360" w:hanging="360"/>
        <w:jc w:val="both"/>
        <w:rPr>
          <w:color w:val="444444"/>
          <w:sz w:val="18"/>
          <w:szCs w:val="18"/>
          <w:lang w:val="es-VE"/>
        </w:rPr>
      </w:pPr>
      <w:r>
        <w:rPr>
          <w:color w:val="444444"/>
          <w:sz w:val="18"/>
          <w:szCs w:val="18"/>
          <w:lang w:val="en-US"/>
        </w:rPr>
        <w:t xml:space="preserve">5. Extermann M, Aapro M, Bernabei R, et al.; Task Force on CGA of the International Society of Geriatric Oncology. Use of comprehensive geriatric assessment in older cancer patients: Recommendations from the task force on CGA of the SIOG. </w:t>
      </w:r>
      <w:r>
        <w:rPr>
          <w:color w:val="444444"/>
          <w:sz w:val="18"/>
          <w:szCs w:val="18"/>
          <w:lang w:val="es-VE"/>
        </w:rPr>
        <w:t>Crit Rev Oncol Hematol. 2005;55(3):241–252.</w:t>
      </w:r>
    </w:p>
    <w:p w14:paraId="76C86112" w14:textId="77777777" w:rsidR="00D3731D" w:rsidRPr="004F4119" w:rsidRDefault="00D3731D" w:rsidP="000C6123">
      <w:pPr>
        <w:spacing w:before="60" w:after="60" w:line="260" w:lineRule="auto"/>
        <w:ind w:left="360" w:hanging="360"/>
        <w:jc w:val="both"/>
        <w:rPr>
          <w:color w:val="444444"/>
          <w:sz w:val="18"/>
          <w:szCs w:val="18"/>
          <w:lang w:val="en-US"/>
        </w:rPr>
      </w:pPr>
      <w:r>
        <w:rPr>
          <w:color w:val="444444"/>
          <w:sz w:val="18"/>
          <w:szCs w:val="18"/>
          <w:lang w:val="es-VE"/>
        </w:rPr>
        <w:t xml:space="preserve">6. Gironella M, Domingo-Domenech E, Alvarez-Larran A, et al. </w:t>
      </w:r>
      <w:r>
        <w:rPr>
          <w:color w:val="444444"/>
          <w:sz w:val="18"/>
          <w:szCs w:val="18"/>
          <w:lang w:val="en-US"/>
        </w:rPr>
        <w:t>Comprehensive Geriatric Assessment as a guide for management of older adult patients with lymphoma. J Geriatr Oncol. 2022;13(5):668–675.</w:t>
      </w:r>
    </w:p>
    <w:p w14:paraId="0040E315" w14:textId="77777777" w:rsidR="00D3731D" w:rsidRPr="000C6123" w:rsidRDefault="00D3731D" w:rsidP="000C6123">
      <w:pPr>
        <w:spacing w:before="60" w:after="60" w:line="260" w:lineRule="auto"/>
        <w:ind w:left="360" w:hanging="360"/>
        <w:jc w:val="both"/>
        <w:rPr>
          <w:color w:val="444444"/>
          <w:sz w:val="18"/>
          <w:szCs w:val="18"/>
          <w:lang w:val="es-VE"/>
        </w:rPr>
      </w:pPr>
      <w:r>
        <w:rPr>
          <w:color w:val="444444"/>
          <w:sz w:val="18"/>
          <w:szCs w:val="18"/>
          <w:lang w:val="en-US"/>
        </w:rPr>
        <w:lastRenderedPageBreak/>
        <w:t xml:space="preserve">7. Rubin LG, Levin MJ, Ljungman P, et al.; Infectious Diseases Society of America. 2013 IDSA clinical practice guideline for vaccination of the immunocompromised host. </w:t>
      </w:r>
      <w:r>
        <w:rPr>
          <w:color w:val="444444"/>
          <w:sz w:val="18"/>
          <w:szCs w:val="18"/>
          <w:lang w:val="es-VE"/>
        </w:rPr>
        <w:t>Clin Infect Dis. 2014;58(3):e44–e100.</w:t>
      </w:r>
    </w:p>
    <w:p w14:paraId="5454538D" w14:textId="77777777" w:rsidR="00D3731D" w:rsidRPr="004F4119" w:rsidRDefault="00D3731D" w:rsidP="000C6123">
      <w:pPr>
        <w:spacing w:before="60" w:after="60" w:line="260" w:lineRule="auto"/>
        <w:ind w:left="360" w:hanging="360"/>
        <w:jc w:val="both"/>
        <w:rPr>
          <w:color w:val="444444"/>
          <w:sz w:val="18"/>
          <w:szCs w:val="18"/>
          <w:lang w:val="en-US"/>
        </w:rPr>
      </w:pPr>
      <w:r>
        <w:rPr>
          <w:color w:val="444444"/>
          <w:sz w:val="18"/>
          <w:szCs w:val="18"/>
          <w:lang w:val="es-VE"/>
        </w:rPr>
        <w:t xml:space="preserve">8. Ljungman P, Mikulska M, de la Camara R, et al. </w:t>
      </w:r>
      <w:r>
        <w:rPr>
          <w:color w:val="444444"/>
          <w:sz w:val="18"/>
          <w:szCs w:val="18"/>
          <w:lang w:val="en-US"/>
        </w:rPr>
        <w:t>The challenge of COVID-19 and hematopoietic cell transplantation; EBMT recommendations for management of hematopoietic cell transplant recipients, their donors, and patients undergoing CAR T-cell therapy. Bone Marrow Transplant. 2020;55(11):2071–2076.</w:t>
      </w:r>
    </w:p>
    <w:p w14:paraId="42162788" w14:textId="77777777" w:rsidR="00D3731D" w:rsidRPr="004F4119" w:rsidRDefault="00D3731D" w:rsidP="000C6123">
      <w:pPr>
        <w:spacing w:before="60" w:after="60" w:line="260" w:lineRule="auto"/>
        <w:ind w:left="360" w:hanging="360"/>
        <w:jc w:val="both"/>
        <w:rPr>
          <w:color w:val="444444"/>
          <w:sz w:val="18"/>
          <w:szCs w:val="18"/>
          <w:lang w:val="en-US"/>
        </w:rPr>
      </w:pPr>
      <w:r>
        <w:rPr>
          <w:color w:val="444444"/>
          <w:sz w:val="18"/>
          <w:szCs w:val="18"/>
          <w:lang w:val="en-US"/>
        </w:rPr>
        <w:t>9. Pergam SA, Limaye AP; AST Infectious Diseases Community of Practice. Varicella zoster virus in solid organ transplantation. Am J Transplant. 2013;13(Suppl 4):138–146.</w:t>
      </w:r>
    </w:p>
    <w:p w14:paraId="66F7766D" w14:textId="77777777" w:rsidR="00D3731D" w:rsidRPr="004F4119" w:rsidRDefault="00D3731D" w:rsidP="000C6123">
      <w:pPr>
        <w:spacing w:before="60" w:after="60" w:line="260" w:lineRule="auto"/>
        <w:ind w:left="360" w:hanging="360"/>
        <w:jc w:val="both"/>
        <w:rPr>
          <w:color w:val="444444"/>
          <w:sz w:val="18"/>
          <w:szCs w:val="18"/>
          <w:lang w:val="en-US"/>
        </w:rPr>
      </w:pPr>
      <w:r>
        <w:rPr>
          <w:color w:val="444444"/>
          <w:sz w:val="18"/>
          <w:szCs w:val="18"/>
          <w:lang w:val="en-US"/>
        </w:rPr>
        <w:t>10. Maertens J, Cesaro S, Maschmeyer G, et al. ECIL guidelines for preventing Pneumocystis jirovecii pneumonia in patients with haematological malignancies and stem cell transplant recipients. J Antimicrob Chemother. 2016;71(9):2397–2404.</w:t>
      </w:r>
    </w:p>
    <w:p w14:paraId="3E8734A0" w14:textId="77777777" w:rsidR="00D3731D" w:rsidRPr="004F4119" w:rsidRDefault="00D3731D" w:rsidP="000C6123">
      <w:pPr>
        <w:spacing w:before="60" w:after="60" w:line="260" w:lineRule="auto"/>
        <w:ind w:left="360" w:hanging="360"/>
        <w:jc w:val="both"/>
        <w:rPr>
          <w:color w:val="444444"/>
          <w:sz w:val="18"/>
          <w:szCs w:val="18"/>
          <w:lang w:val="en-US"/>
        </w:rPr>
      </w:pPr>
      <w:r>
        <w:rPr>
          <w:color w:val="444444"/>
          <w:sz w:val="18"/>
          <w:szCs w:val="18"/>
          <w:lang w:val="en-US"/>
        </w:rPr>
        <w:t>11. Chapel H, Cunningham-Rundles C. Update in understanding common variable immunodeficiency disorders (CVIDs) and the management of patients with these conditions. Br J Haematol. 2009;145(6):709–727.</w:t>
      </w:r>
    </w:p>
    <w:p w14:paraId="76EE03D0" w14:textId="28A6C371" w:rsidR="00D3731D" w:rsidRDefault="00D3731D" w:rsidP="000C6123">
      <w:pPr>
        <w:spacing w:before="60" w:after="60" w:line="260" w:lineRule="auto"/>
        <w:ind w:left="360" w:hanging="360"/>
        <w:jc w:val="both"/>
        <w:rPr>
          <w:sz w:val="18"/>
          <w:szCs w:val="18"/>
        </w:rPr>
      </w:pPr>
      <w:r>
        <w:rPr>
          <w:color w:val="444444"/>
          <w:sz w:val="18"/>
          <w:szCs w:val="18"/>
          <w:lang w:val="en-US"/>
        </w:rPr>
        <w:t xml:space="preserve">12. Shah NN, Jurczak W, Zinzani PL, et al. Pirtobrutinib in covalent BTK-inhibitor pre-treated mantle cell lymphoma: updated results from the phase 1/2 BRUIN study. </w:t>
      </w:r>
      <w:r>
        <w:rPr>
          <w:color w:val="444444"/>
          <w:sz w:val="18"/>
          <w:szCs w:val="18"/>
          <w:lang w:val="es-VE"/>
        </w:rPr>
        <w:t>J Clin Oncol. 2023;41(Suppl 16):7514</w:t>
      </w:r>
      <w:r>
        <w:rPr>
          <w:sz w:val="18"/>
          <w:szCs w:val="18"/>
        </w:rPr>
        <w:t>.</w:t>
      </w:r>
    </w:p>
    <w:p w14:paraId="7663C895" w14:textId="77777777" w:rsidR="00D3731D" w:rsidRPr="00D3731D" w:rsidRDefault="00D3731D" w:rsidP="00D3731D">
      <w:pPr>
        <w:spacing w:after="100"/>
        <w:ind w:left="360" w:hanging="360"/>
        <w:jc w:val="both"/>
      </w:pPr>
    </w:p>
    <w:p w14:paraId="00000171" w14:textId="77777777" w:rsidR="00205D31" w:rsidRPr="000C6123" w:rsidRDefault="00000000" w:rsidP="00D3731D">
      <w:pPr>
        <w:jc w:val="both"/>
        <w:rPr>
          <w:b/>
          <w:sz w:val="28"/>
          <w:szCs w:val="28"/>
        </w:rPr>
      </w:pPr>
      <w:bookmarkStart w:id="48" w:name="_heading=h.lwcehwl2mp52" w:colFirst="0" w:colLast="0"/>
      <w:bookmarkStart w:id="49" w:name="_heading=h.4h8i0gfnkvml" w:colFirst="0" w:colLast="0"/>
      <w:bookmarkStart w:id="50" w:name="_heading=h.jrlmqzyuv9c8" w:colFirst="0" w:colLast="0"/>
      <w:bookmarkStart w:id="51" w:name="_heading=h.5ah8e7pcw7xh" w:colFirst="0" w:colLast="0"/>
      <w:bookmarkStart w:id="52" w:name="_heading=h.m3bot92jqs1u" w:colFirst="0" w:colLast="0"/>
      <w:bookmarkStart w:id="53" w:name="_heading=h.923wrhtqydpz" w:colFirst="0" w:colLast="0"/>
      <w:bookmarkEnd w:id="48"/>
      <w:bookmarkEnd w:id="49"/>
      <w:bookmarkEnd w:id="50"/>
      <w:bookmarkEnd w:id="51"/>
      <w:bookmarkEnd w:id="52"/>
      <w:bookmarkEnd w:id="53"/>
      <w:r>
        <w:rPr>
          <w:b/>
          <w:sz w:val="28"/>
          <w:szCs w:val="28"/>
        </w:rPr>
        <w:t>11.-CONTEXTO LATINOAMERICANO Y ESTUDIO MANTO LATAM</w:t>
      </w:r>
    </w:p>
    <w:p w14:paraId="3583173B" w14:textId="49CFBCD7" w:rsidR="006E5E66" w:rsidRPr="006E5E66" w:rsidRDefault="00D3731D" w:rsidP="00D3731D">
      <w:pPr>
        <w:jc w:val="both"/>
      </w:pPr>
      <w:r>
        <w:rPr>
          <w:b/>
          <w:bCs/>
        </w:rPr>
        <w:t>Dra. Marta Zerga (Argentina)  Dr. Humberto Martínez (Colombia). Jaime Valdez (Colombia), Rosa Oliday Rios Jimenez (Cuba), Dra. Maria Alejandra Torres Viera  (Venezuela</w:t>
      </w:r>
      <w:r>
        <w:t xml:space="preserve">) </w:t>
      </w:r>
    </w:p>
    <w:p w14:paraId="00000172" w14:textId="1C72DF25" w:rsidR="00205D31" w:rsidRPr="008977FB" w:rsidRDefault="00000000" w:rsidP="00D3731D">
      <w:pPr>
        <w:pStyle w:val="Ttulo3"/>
        <w:keepNext w:val="0"/>
        <w:keepLines w:val="0"/>
        <w:spacing w:before="280"/>
        <w:jc w:val="both"/>
        <w:rPr>
          <w:b/>
          <w:color w:val="000000"/>
          <w:sz w:val="24"/>
          <w:szCs w:val="24"/>
        </w:rPr>
      </w:pPr>
      <w:bookmarkStart w:id="54" w:name="_heading=h.ick2ifqa5y6u" w:colFirst="0" w:colLast="0"/>
      <w:bookmarkEnd w:id="54"/>
      <w:r>
        <w:rPr>
          <w:b/>
          <w:color w:val="000000"/>
          <w:sz w:val="24"/>
          <w:szCs w:val="24"/>
        </w:rPr>
        <w:t>11. ¿Cuáles son las principales barreras en América Latina?</w:t>
      </w:r>
    </w:p>
    <w:p w14:paraId="00000173" w14:textId="77777777" w:rsidR="00205D31" w:rsidRDefault="00000000" w:rsidP="00D3731D">
      <w:pPr>
        <w:spacing w:before="240" w:after="240"/>
        <w:jc w:val="both"/>
        <w:rPr>
          <w:i/>
        </w:rPr>
      </w:pPr>
      <w:r>
        <w:rPr>
          <w:i/>
        </w:rPr>
        <w:t>ACCESO LIMITADO A HEMATOPATOLOGÍA ESPECIALIZADA (45% TIEMPO DIAGNÓSTICO &gt;90 DÍAS), DIFICULTADES EN ACCESO A BTKi (69% LIMITACIONES), INEQUIDAD EN AUTO-TPH, Y LIMITACIONES EN PET-CT.</w:t>
      </w:r>
    </w:p>
    <w:p w14:paraId="00000174" w14:textId="24BE48B7" w:rsidR="00205D31" w:rsidRPr="00172E82" w:rsidRDefault="00000000" w:rsidP="00D3731D">
      <w:pPr>
        <w:spacing w:before="240" w:after="240"/>
        <w:jc w:val="both"/>
        <w:rPr>
          <w:sz w:val="20"/>
          <w:szCs w:val="20"/>
        </w:rPr>
      </w:pPr>
      <w:r>
        <w:rPr>
          <w:b/>
        </w:rPr>
        <w:t>Justificación</w:t>
      </w:r>
      <w:r>
        <w:t xml:space="preserve">: </w:t>
      </w:r>
      <w:r>
        <w:rPr>
          <w:sz w:val="20"/>
          <w:szCs w:val="20"/>
        </w:rPr>
        <w:t>El estudio MANTO LATAM identificó barreras sistémicas: 45% retrasos diagnósticos &gt;90 días por falta de hematopatólogos especializados; 69% dificultad acceso a BTKi por costos (5,000-8,000 USD/mes); disponibilidad heterogénea de trasplante (solo 40% centros);el acceso a PET-CT para estadificación y evaluación de respuesta está limitado en centros regionales, requiriendo frecuentemente referencia a centros urbanos mayore.</w:t>
      </w:r>
    </w:p>
    <w:p w14:paraId="00000175" w14:textId="0BF9A39B" w:rsidR="00205D31" w:rsidRDefault="00000000" w:rsidP="00D3731D">
      <w:pPr>
        <w:spacing w:before="240" w:after="240"/>
        <w:jc w:val="both"/>
        <w:rPr>
          <w:b/>
          <w:sz w:val="24"/>
          <w:szCs w:val="24"/>
        </w:rPr>
      </w:pPr>
      <w:r>
        <w:rPr>
          <w:b/>
        </w:rPr>
        <w:t>Declaración (2C):</w:t>
      </w:r>
      <w:r>
        <w:t xml:space="preserve"> </w:t>
      </w:r>
      <w:r>
        <w:rPr>
          <w:sz w:val="20"/>
          <w:szCs w:val="20"/>
        </w:rPr>
        <w:t>Implementar redes de telepatología, protocolos estandarizados de estudio mínimo, vías de referencia rápida a trasplante, negociación regional de BTKi (anticipando genéricos ibrutinib 2026), y priorizar implementación de criterios Cheson (2014) de estadificación Y respuesta a tratamiento</w:t>
      </w:r>
    </w:p>
    <w:p w14:paraId="00000176" w14:textId="6073ABC1" w:rsidR="00205D31" w:rsidRDefault="00000000" w:rsidP="00D3731D">
      <w:pPr>
        <w:spacing w:before="240" w:after="240"/>
        <w:jc w:val="both"/>
        <w:rPr>
          <w:b/>
        </w:rPr>
      </w:pPr>
      <w:r>
        <w:rPr>
          <w:b/>
          <w:sz w:val="24"/>
          <w:szCs w:val="24"/>
        </w:rPr>
        <w:t xml:space="preserve">11.2 </w:t>
      </w:r>
      <w:r>
        <w:rPr>
          <w:b/>
        </w:rPr>
        <w:t>¿En Latinoamérica, ¿cuál es el tratamiento más utilizado según grupo etario y recursos disponibles?</w:t>
      </w:r>
    </w:p>
    <w:p w14:paraId="00000177" w14:textId="77777777" w:rsidR="00205D31" w:rsidRPr="00172E82" w:rsidRDefault="00000000" w:rsidP="00D3731D">
      <w:pPr>
        <w:spacing w:before="240" w:after="240"/>
        <w:jc w:val="both"/>
        <w:rPr>
          <w:i/>
          <w:iCs/>
        </w:rPr>
      </w:pPr>
      <w:r>
        <w:rPr>
          <w:i/>
          <w:iCs/>
        </w:rPr>
        <w:t xml:space="preserve">EN LATINOAMÉRICA, UNA PROPORCIÓN SUSTANCIAL DE PACIENTES CON LINFOMA DEL MANTO JÓVENES Y “FIT” NO SON TRATADOS REGÍMENES INTENSIVOS BASADOS EN CITARABINA, (SOBRE TODO SECTORES RURALES Y PUBLICOS VS PRIVADO), SUBRAYANDO LA NECESIDAD URGENTE DE ARMONIZAR LA PRÁCTICA CON LA EVIDENCIA GLOBAL  </w:t>
      </w:r>
    </w:p>
    <w:p w14:paraId="00000178" w14:textId="77777777" w:rsidR="00205D31" w:rsidRPr="00634B4A" w:rsidRDefault="00000000" w:rsidP="00D3731D">
      <w:pPr>
        <w:spacing w:before="240" w:after="240"/>
        <w:jc w:val="both"/>
        <w:rPr>
          <w:i/>
        </w:rPr>
      </w:pPr>
      <w:r>
        <w:rPr>
          <w:b/>
          <w:bCs/>
          <w:i/>
        </w:rPr>
        <w:t>Justificación</w:t>
      </w:r>
      <w:r>
        <w:rPr>
          <w:i/>
        </w:rPr>
        <w:t xml:space="preserve">: </w:t>
      </w:r>
      <w:sdt>
        <w:sdtPr>
          <w:rPr>
            <w:i/>
          </w:rPr>
          <w:tag w:val="goog_rdk_31"/>
          <w:id w:val="661672619"/>
        </w:sdtPr>
        <w:sdtContent>
          <w:r>
            <w:rPr>
              <w:iCs/>
              <w:sz w:val="20"/>
              <w:szCs w:val="20"/>
            </w:rPr>
            <w:t>En la cohorte LATAM-GELL (n=222), el 43.6% recibió esquemas con citarabina, 25.3% R-CHOP y 20% R-bendamustina. Los pacientes &lt; 65 años fueron tratados mayoritariamente con regímenes intensivos (69.2%), mientras que los ≥ 65 años con R-Bendamustina (37%). Los hospitales públicos favorecieron R-CHOP (41.2%), en tanto que los privados utilizaron más citarabina (55%).</w:t>
          </w:r>
          <w:r>
            <w:rPr>
              <w:i/>
            </w:rPr>
            <w:t xml:space="preserve"> </w:t>
          </w:r>
        </w:sdtContent>
      </w:sdt>
    </w:p>
    <w:p w14:paraId="00000179" w14:textId="51BD2BA0" w:rsidR="00205D31" w:rsidRDefault="00000000" w:rsidP="00D3731D">
      <w:pPr>
        <w:spacing w:before="240" w:after="240"/>
        <w:jc w:val="both"/>
      </w:pPr>
      <w:r>
        <w:rPr>
          <w:b/>
        </w:rPr>
        <w:lastRenderedPageBreak/>
        <w:t xml:space="preserve">Declaración: </w:t>
      </w:r>
      <w:r>
        <w:rPr>
          <w:sz w:val="20"/>
          <w:szCs w:val="20"/>
        </w:rPr>
        <w:t>En Latinoamérica, R-CHOP seguido de mantenimiento con rituximab constituye el esquema mínimo estándar en entornos de recursos limitados a pesar de pacientes &lt; de 65 años y con acceso a citarabina. Se recomienda regímenes contentivos de citarabina y consolidación con ASCT en ausencia BTKi. La adopción de esquemas adaptados por disponibilidad, pero guiados por evidencia, permite resultados competitivos con países de altos ingresos, pero esta estrategia está menos consolidada en nuestra región</w:t>
      </w:r>
    </w:p>
    <w:p w14:paraId="0000017A" w14:textId="7DC397CC" w:rsidR="00205D31" w:rsidRDefault="00000000" w:rsidP="00D3731D">
      <w:pPr>
        <w:pStyle w:val="Ttulo3"/>
        <w:keepNext w:val="0"/>
        <w:keepLines w:val="0"/>
        <w:spacing w:before="280"/>
        <w:jc w:val="both"/>
        <w:rPr>
          <w:b/>
          <w:color w:val="000000"/>
          <w:sz w:val="26"/>
          <w:szCs w:val="26"/>
        </w:rPr>
      </w:pPr>
      <w:bookmarkStart w:id="55" w:name="_heading=h.fxyuptrild76" w:colFirst="0" w:colLast="0"/>
      <w:bookmarkEnd w:id="55"/>
      <w:r>
        <w:rPr>
          <w:b/>
          <w:color w:val="000000"/>
          <w:sz w:val="24"/>
          <w:szCs w:val="24"/>
        </w:rPr>
        <w:t>11.3 ¿Estrategias para optimizar recursos limitados</w:t>
      </w:r>
      <w:r>
        <w:rPr>
          <w:b/>
          <w:color w:val="000000"/>
          <w:sz w:val="26"/>
          <w:szCs w:val="26"/>
        </w:rPr>
        <w:t>?</w:t>
      </w:r>
    </w:p>
    <w:p w14:paraId="0000017B" w14:textId="77777777" w:rsidR="00205D31" w:rsidRDefault="00000000" w:rsidP="00D3731D">
      <w:pPr>
        <w:spacing w:before="240" w:after="240"/>
        <w:jc w:val="both"/>
        <w:rPr>
          <w:i/>
        </w:rPr>
      </w:pPr>
      <w:r>
        <w:rPr>
          <w:i/>
        </w:rPr>
        <w:t>MANTENIMIENTO RITUXIMAB UNIVERSAL (MÁXIMA PRIORIDAD), OPTIMIZACIÓN DE TRASPLANTE MEDIANTE REDES DE REFERENCIA, NEGOCIACIÓN REGIONAL PARA BTKi GENÉRICOS, TELEPATOLOGÍA, Y PROTOCOLOS COOPERATIVOS.</w:t>
      </w:r>
    </w:p>
    <w:p w14:paraId="0000017C" w14:textId="7C917EE6" w:rsidR="00205D31" w:rsidRPr="00172E82" w:rsidRDefault="00000000" w:rsidP="00D3731D">
      <w:pPr>
        <w:spacing w:before="240" w:after="240"/>
        <w:jc w:val="both"/>
        <w:rPr>
          <w:sz w:val="20"/>
          <w:szCs w:val="20"/>
        </w:rPr>
      </w:pPr>
      <w:r>
        <w:rPr>
          <w:b/>
        </w:rPr>
        <w:t>Justificación</w:t>
      </w:r>
      <w:r>
        <w:t xml:space="preserve">: </w:t>
      </w:r>
      <w:r>
        <w:rPr>
          <w:sz w:val="20"/>
          <w:szCs w:val="20"/>
        </w:rPr>
        <w:t>Mantenimiento rituximab reduce mortalidad (22.6% vs 33.3%) siendo accesible pero subutilizado (19.4% &lt;65 años); capacidad de trasplante existe, pero requiere mejor utilización; negociación regional mejora poder de compra anticipando vencimientos patentes; telepatología optimiza expertise escaso.</w:t>
      </w:r>
    </w:p>
    <w:p w14:paraId="0000017E" w14:textId="3DDBB5FF" w:rsidR="00205D31" w:rsidRPr="00172E82" w:rsidRDefault="00000000" w:rsidP="00D3731D">
      <w:pPr>
        <w:spacing w:before="240" w:after="240"/>
        <w:jc w:val="both"/>
        <w:rPr>
          <w:sz w:val="20"/>
          <w:szCs w:val="20"/>
        </w:rPr>
      </w:pPr>
      <w:r>
        <w:rPr>
          <w:b/>
          <w:sz w:val="20"/>
          <w:szCs w:val="20"/>
        </w:rPr>
        <w:t>Declaración (2C):</w:t>
      </w:r>
      <w:r>
        <w:rPr>
          <w:sz w:val="20"/>
          <w:szCs w:val="20"/>
        </w:rPr>
        <w:t xml:space="preserve"> (1) Mantenimiento rituximab universal obligatorio; (2) protocolos de referencia a trasplante con seguimiento colaborativo; (3) negociación regional BTKi priorizando recaída; (4) redes de telepatología; (5) protocolos cooperativos regionales; (6) </w:t>
      </w:r>
      <w:r>
        <w:rPr>
          <w:color w:val="444444"/>
          <w:sz w:val="20"/>
          <w:szCs w:val="20"/>
          <w:lang w:val="es-VE"/>
        </w:rPr>
        <w:t>c</w:t>
      </w:r>
      <w:r>
        <w:rPr>
          <w:sz w:val="20"/>
          <w:szCs w:val="20"/>
        </w:rPr>
        <w:t>ombinaciones costo-efectivas (BTKi + rituximab, R-lenalidomida).</w:t>
      </w:r>
    </w:p>
    <w:p w14:paraId="0000017F" w14:textId="77777777" w:rsidR="00205D31" w:rsidRPr="004E32F5" w:rsidRDefault="00000000" w:rsidP="00D3731D">
      <w:pPr>
        <w:spacing w:before="60" w:after="60" w:line="260" w:lineRule="auto"/>
        <w:ind w:left="360" w:hanging="360"/>
        <w:jc w:val="both"/>
        <w:rPr>
          <w:color w:val="444444"/>
          <w:sz w:val="18"/>
          <w:szCs w:val="18"/>
          <w:lang w:val="es-VE"/>
        </w:rPr>
      </w:pPr>
      <w:r>
        <w:rPr>
          <w:b/>
          <w:bCs/>
          <w:color w:val="444444"/>
          <w:sz w:val="18"/>
          <w:szCs w:val="18"/>
          <w:lang w:val="es-VE"/>
        </w:rPr>
        <w:t xml:space="preserve">Bibliografia </w:t>
      </w:r>
    </w:p>
    <w:p w14:paraId="00000180" w14:textId="77777777" w:rsidR="00205D31" w:rsidRPr="004E32F5" w:rsidRDefault="00000000" w:rsidP="00D3731D">
      <w:pPr>
        <w:spacing w:before="60" w:after="60" w:line="260" w:lineRule="auto"/>
        <w:ind w:left="360" w:hanging="360"/>
        <w:jc w:val="both"/>
        <w:rPr>
          <w:color w:val="444444"/>
          <w:sz w:val="18"/>
          <w:szCs w:val="18"/>
          <w:lang w:val="es-VE"/>
        </w:rPr>
      </w:pPr>
      <w:r>
        <w:t>1.-</w:t>
      </w:r>
      <w:r>
        <w:rPr>
          <w:color w:val="444444"/>
          <w:sz w:val="18"/>
          <w:szCs w:val="18"/>
          <w:lang w:val="es-VE"/>
        </w:rPr>
        <w:t xml:space="preserve">Bornacelly A, Torres-Viera MA, Villela L, et al. </w:t>
      </w:r>
      <w:r>
        <w:rPr>
          <w:color w:val="444444"/>
          <w:sz w:val="18"/>
          <w:szCs w:val="18"/>
          <w:lang w:val="en-US"/>
        </w:rPr>
        <w:t xml:space="preserve">Real-World Treatment and Outcomes of Mantle Cell Lymphoma in Latin America: A Multinational Cohort Analysis. </w:t>
      </w:r>
      <w:r>
        <w:rPr>
          <w:color w:val="444444"/>
          <w:sz w:val="18"/>
          <w:szCs w:val="18"/>
          <w:lang w:val="es-VE"/>
        </w:rPr>
        <w:t>ASH 2025</w:t>
      </w:r>
    </w:p>
    <w:p w14:paraId="00000181" w14:textId="77777777" w:rsidR="00205D31" w:rsidRPr="00634B4A" w:rsidRDefault="00000000" w:rsidP="00D3731D">
      <w:pPr>
        <w:spacing w:before="60" w:after="60" w:line="260" w:lineRule="auto"/>
        <w:ind w:left="360" w:hanging="360"/>
        <w:jc w:val="both"/>
        <w:rPr>
          <w:color w:val="444444"/>
          <w:sz w:val="18"/>
          <w:szCs w:val="18"/>
          <w:lang w:val="en-US"/>
        </w:rPr>
      </w:pPr>
      <w:r>
        <w:rPr>
          <w:color w:val="444444"/>
          <w:sz w:val="18"/>
          <w:szCs w:val="18"/>
          <w:lang w:val="es-VE"/>
        </w:rPr>
        <w:t xml:space="preserve">2.-Combariza-Vallejo JF, Orduz-Rodríguez R, Gómez-Lopera N, Colmenares-Mejía CC, Mejía-Casadiego FA, Godoy-Corredor M, Isaza-Ruget MA. </w:t>
      </w:r>
      <w:r>
        <w:rPr>
          <w:color w:val="444444"/>
          <w:sz w:val="18"/>
          <w:szCs w:val="18"/>
          <w:lang w:val="en-US"/>
        </w:rPr>
        <w:t>Survival Analysis in a Colombian Cohort of Mantle Cell Lymphoma. A Real-World Experience. Hematol Oncol. 2025 May;43(3):e70085. doi:10.1002/hon.70085</w:t>
      </w:r>
    </w:p>
    <w:p w14:paraId="00000182" w14:textId="77777777" w:rsidR="00205D31" w:rsidRPr="00634B4A" w:rsidRDefault="00000000" w:rsidP="00D3731D">
      <w:pPr>
        <w:spacing w:before="60" w:after="60" w:line="260" w:lineRule="auto"/>
        <w:ind w:left="360" w:hanging="360"/>
        <w:jc w:val="both"/>
        <w:rPr>
          <w:color w:val="444444"/>
          <w:sz w:val="18"/>
          <w:szCs w:val="18"/>
          <w:lang w:val="en-US"/>
        </w:rPr>
      </w:pPr>
      <w:r>
        <w:rPr>
          <w:color w:val="444444"/>
          <w:sz w:val="18"/>
          <w:szCs w:val="18"/>
          <w:lang w:val="en-US"/>
        </w:rPr>
        <w:t>3.-Bellesso M, et al. REALM study: A retrospective evaluation of treatment and outcomes in Mantle Cell Lymphoma in Brazil. Hematol Transfus Cell Ther. 2024.</w:t>
      </w:r>
    </w:p>
    <w:p w14:paraId="00000183" w14:textId="77777777" w:rsidR="00205D31" w:rsidRPr="00634B4A" w:rsidRDefault="00000000" w:rsidP="00D3731D">
      <w:pPr>
        <w:spacing w:before="60" w:after="60" w:line="260" w:lineRule="auto"/>
        <w:ind w:left="360" w:hanging="360"/>
        <w:jc w:val="both"/>
        <w:rPr>
          <w:color w:val="444444"/>
          <w:sz w:val="18"/>
          <w:szCs w:val="18"/>
          <w:lang w:val="en-US"/>
        </w:rPr>
      </w:pPr>
      <w:r>
        <w:rPr>
          <w:color w:val="444444"/>
          <w:sz w:val="18"/>
          <w:szCs w:val="18"/>
          <w:lang w:val="en-US"/>
        </w:rPr>
        <w:t>4.-Córdova-Ramírez AC, et al. Mantle cell lymphoma may have a different clinical course in Mexico. Rev Medica Inst Mex Seguro Soc. 2021;59(2):93-101.</w:t>
      </w:r>
    </w:p>
    <w:p w14:paraId="00000184" w14:textId="77777777" w:rsidR="00205D31" w:rsidRPr="00634B4A" w:rsidRDefault="00205D31" w:rsidP="00D3731D">
      <w:pPr>
        <w:spacing w:before="240" w:after="240"/>
        <w:jc w:val="both"/>
        <w:rPr>
          <w:lang w:val="en-US"/>
        </w:rPr>
      </w:pPr>
    </w:p>
    <w:p w14:paraId="00000187" w14:textId="77777777" w:rsidR="00205D31" w:rsidRPr="00634B4A" w:rsidRDefault="00205D31" w:rsidP="00D3731D">
      <w:pPr>
        <w:jc w:val="both"/>
        <w:rPr>
          <w:lang w:val="en-US"/>
        </w:rPr>
      </w:pPr>
    </w:p>
    <w:sectPr w:rsidR="00205D31" w:rsidRPr="00634B4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C10C1B1-FC17-644C-8F4B-06D8AC9222C0}"/>
    <w:embedBold r:id="rId2" w:fontKey="{433E94EA-5346-FF40-88FC-CB1EAA32DC32}"/>
    <w:embedItalic r:id="rId3" w:fontKey="{229405FF-36F5-784E-85A8-807B11A3EDE9}"/>
  </w:font>
  <w:font w:name="Symbol">
    <w:panose1 w:val="05050102010706020507"/>
    <w:charset w:val="02"/>
    <w:family w:val="decorative"/>
    <w:pitch w:val="variable"/>
    <w:sig w:usb0="00000000" w:usb1="10000000" w:usb2="00000000" w:usb3="00000000" w:csb0="80000000" w:csb1="00000000"/>
    <w:embedRegular r:id="rId4" w:fontKey="{D2017852-91ED-F74F-BA95-30EB6C1158D8}"/>
  </w:font>
  <w:font w:name="Courier New">
    <w:panose1 w:val="02070309020205020404"/>
    <w:charset w:val="00"/>
    <w:family w:val="modern"/>
    <w:pitch w:val="fixed"/>
    <w:sig w:usb0="E0002AFF" w:usb1="C0007843" w:usb2="00000009" w:usb3="00000000" w:csb0="000001FF" w:csb1="00000000"/>
    <w:embedRegular r:id="rId5" w:fontKey="{ABACDFD5-4F27-0E4A-9CDD-CE2105852554}"/>
  </w:font>
  <w:font w:name="Wingdings">
    <w:panose1 w:val="05000000000000000000"/>
    <w:charset w:val="4D"/>
    <w:family w:val="decorative"/>
    <w:pitch w:val="variable"/>
    <w:sig w:usb0="00000003" w:usb1="00000000" w:usb2="00000000" w:usb3="00000000" w:csb0="80000001" w:csb1="00000000"/>
    <w:embedRegular r:id="rId6" w:fontKey="{2C5D8004-4057-E24B-AEE1-0147443AF003}"/>
  </w:font>
  <w:font w:name="Arial">
    <w:panose1 w:val="020B0604020202020204"/>
    <w:charset w:val="00"/>
    <w:family w:val="swiss"/>
    <w:pitch w:val="variable"/>
    <w:sig w:usb0="E0002AFF" w:usb1="C0007843" w:usb2="00000009" w:usb3="00000000" w:csb0="000001FF" w:csb1="00000000"/>
    <w:embedRegular r:id="rId7" w:fontKey="{025D8B58-2E0D-4E48-ABF5-02D9CBEDF893}"/>
    <w:embedBold r:id="rId8" w:fontKey="{097B479A-588B-9746-8E20-9409D4ED1ED7}"/>
    <w:embedItalic r:id="rId9" w:fontKey="{AC487CC7-1DD5-C342-A8E3-8AF124A8E376}"/>
    <w:embedBoldItalic r:id="rId10" w:fontKey="{203EDC99-B8B0-BE41-AA5A-92F214F6D161}"/>
  </w:font>
  <w:font w:name="Arimo">
    <w:altName w:val="Calibri"/>
    <w:panose1 w:val="020B0604020202020204"/>
    <w:charset w:val="00"/>
    <w:family w:val="auto"/>
    <w:pitch w:val="default"/>
  </w:font>
  <w:font w:name="Cambria Math">
    <w:panose1 w:val="02040503050406030204"/>
    <w:charset w:val="00"/>
    <w:family w:val="roman"/>
    <w:pitch w:val="variable"/>
    <w:sig w:usb0="E00002FF" w:usb1="420024FF" w:usb2="00000000" w:usb3="00000000" w:csb0="0000019F" w:csb1="00000000"/>
    <w:embedRegular r:id="rId12" w:fontKey="{03FD9203-78AF-4A46-816A-64A98CEADE17}"/>
    <w:embedItalic r:id="rId13" w:fontKey="{066123B0-56A4-3E47-8212-25B52C38AD31}"/>
  </w:font>
  <w:font w:name="Arial Unicode MS">
    <w:panose1 w:val="020B0604020202020204"/>
    <w:charset w:val="80"/>
    <w:family w:val="swiss"/>
    <w:pitch w:val="variable"/>
    <w:sig w:usb0="F7FFAFFF" w:usb1="E9DFFFFF" w:usb2="0000003F" w:usb3="00000000" w:csb0="003F01FF" w:csb1="00000000"/>
    <w:embedRegular r:id="rId14" w:subsetted="1" w:fontKey="{814C867D-2A40-414C-99E7-76EEB497B31A}"/>
    <w:embedItalic r:id="rId15" w:subsetted="1" w:fontKey="{83D89A1B-9C59-8748-BE9A-C3D3C52A3E79}"/>
  </w:font>
  <w:font w:name="Calibri">
    <w:panose1 w:val="020F0502020204030204"/>
    <w:charset w:val="00"/>
    <w:family w:val="swiss"/>
    <w:pitch w:val="variable"/>
    <w:sig w:usb0="E0002AFF" w:usb1="C000247B" w:usb2="00000009" w:usb3="00000000" w:csb0="000001FF" w:csb1="00000000"/>
    <w:embedRegular r:id="rId16" w:fontKey="{0F17A27D-4C88-1F46-94BA-A6DA8E4DFE56}"/>
  </w:font>
  <w:font w:name="Cambria">
    <w:panose1 w:val="02040503050406030204"/>
    <w:charset w:val="00"/>
    <w:family w:val="roman"/>
    <w:pitch w:val="variable"/>
    <w:sig w:usb0="E00006FF" w:usb1="420024FF" w:usb2="02000000" w:usb3="00000000" w:csb0="0000019F" w:csb1="00000000"/>
    <w:embedRegular r:id="rId17" w:fontKey="{D3F93FD3-9261-9747-8126-D493C14B9C5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91669"/>
    <w:multiLevelType w:val="multilevel"/>
    <w:tmpl w:val="C8EED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E47030"/>
    <w:multiLevelType w:val="multilevel"/>
    <w:tmpl w:val="7586F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E87C01"/>
    <w:multiLevelType w:val="multilevel"/>
    <w:tmpl w:val="30269992"/>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A751378"/>
    <w:multiLevelType w:val="multilevel"/>
    <w:tmpl w:val="34703E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46420274"/>
    <w:multiLevelType w:val="multilevel"/>
    <w:tmpl w:val="7EE0D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C113E2"/>
    <w:multiLevelType w:val="multilevel"/>
    <w:tmpl w:val="0F9E8D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5A275817"/>
    <w:multiLevelType w:val="multilevel"/>
    <w:tmpl w:val="7DFE10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730E2E2D"/>
    <w:multiLevelType w:val="hybridMultilevel"/>
    <w:tmpl w:val="8BF0F720"/>
    <w:lvl w:ilvl="0" w:tplc="080A0001">
      <w:start w:val="1"/>
      <w:numFmt w:val="bullet"/>
      <w:lvlText w:val=""/>
      <w:lvlJc w:val="left"/>
      <w:pPr>
        <w:ind w:left="1120" w:hanging="360"/>
      </w:pPr>
      <w:rPr>
        <w:rFonts w:ascii="Symbol" w:hAnsi="Symbol" w:hint="default"/>
      </w:rPr>
    </w:lvl>
    <w:lvl w:ilvl="1" w:tplc="080A0003" w:tentative="1">
      <w:start w:val="1"/>
      <w:numFmt w:val="bullet"/>
      <w:lvlText w:val="o"/>
      <w:lvlJc w:val="left"/>
      <w:pPr>
        <w:ind w:left="1840" w:hanging="360"/>
      </w:pPr>
      <w:rPr>
        <w:rFonts w:ascii="Courier New" w:hAnsi="Courier New" w:cs="Courier New" w:hint="default"/>
      </w:rPr>
    </w:lvl>
    <w:lvl w:ilvl="2" w:tplc="080A0005" w:tentative="1">
      <w:start w:val="1"/>
      <w:numFmt w:val="bullet"/>
      <w:lvlText w:val=""/>
      <w:lvlJc w:val="left"/>
      <w:pPr>
        <w:ind w:left="2560" w:hanging="360"/>
      </w:pPr>
      <w:rPr>
        <w:rFonts w:ascii="Wingdings" w:hAnsi="Wingdings" w:hint="default"/>
      </w:rPr>
    </w:lvl>
    <w:lvl w:ilvl="3" w:tplc="080A0001" w:tentative="1">
      <w:start w:val="1"/>
      <w:numFmt w:val="bullet"/>
      <w:lvlText w:val=""/>
      <w:lvlJc w:val="left"/>
      <w:pPr>
        <w:ind w:left="3280" w:hanging="360"/>
      </w:pPr>
      <w:rPr>
        <w:rFonts w:ascii="Symbol" w:hAnsi="Symbol" w:hint="default"/>
      </w:rPr>
    </w:lvl>
    <w:lvl w:ilvl="4" w:tplc="080A0003" w:tentative="1">
      <w:start w:val="1"/>
      <w:numFmt w:val="bullet"/>
      <w:lvlText w:val="o"/>
      <w:lvlJc w:val="left"/>
      <w:pPr>
        <w:ind w:left="4000" w:hanging="360"/>
      </w:pPr>
      <w:rPr>
        <w:rFonts w:ascii="Courier New" w:hAnsi="Courier New" w:cs="Courier New" w:hint="default"/>
      </w:rPr>
    </w:lvl>
    <w:lvl w:ilvl="5" w:tplc="080A0005" w:tentative="1">
      <w:start w:val="1"/>
      <w:numFmt w:val="bullet"/>
      <w:lvlText w:val=""/>
      <w:lvlJc w:val="left"/>
      <w:pPr>
        <w:ind w:left="4720" w:hanging="360"/>
      </w:pPr>
      <w:rPr>
        <w:rFonts w:ascii="Wingdings" w:hAnsi="Wingdings" w:hint="default"/>
      </w:rPr>
    </w:lvl>
    <w:lvl w:ilvl="6" w:tplc="080A0001" w:tentative="1">
      <w:start w:val="1"/>
      <w:numFmt w:val="bullet"/>
      <w:lvlText w:val=""/>
      <w:lvlJc w:val="left"/>
      <w:pPr>
        <w:ind w:left="5440" w:hanging="360"/>
      </w:pPr>
      <w:rPr>
        <w:rFonts w:ascii="Symbol" w:hAnsi="Symbol" w:hint="default"/>
      </w:rPr>
    </w:lvl>
    <w:lvl w:ilvl="7" w:tplc="080A0003" w:tentative="1">
      <w:start w:val="1"/>
      <w:numFmt w:val="bullet"/>
      <w:lvlText w:val="o"/>
      <w:lvlJc w:val="left"/>
      <w:pPr>
        <w:ind w:left="6160" w:hanging="360"/>
      </w:pPr>
      <w:rPr>
        <w:rFonts w:ascii="Courier New" w:hAnsi="Courier New" w:cs="Courier New" w:hint="default"/>
      </w:rPr>
    </w:lvl>
    <w:lvl w:ilvl="8" w:tplc="080A0005" w:tentative="1">
      <w:start w:val="1"/>
      <w:numFmt w:val="bullet"/>
      <w:lvlText w:val=""/>
      <w:lvlJc w:val="left"/>
      <w:pPr>
        <w:ind w:left="6880" w:hanging="360"/>
      </w:pPr>
      <w:rPr>
        <w:rFonts w:ascii="Wingdings" w:hAnsi="Wingdings" w:hint="default"/>
      </w:rPr>
    </w:lvl>
  </w:abstractNum>
  <w:num w:numId="1" w16cid:durableId="780296903">
    <w:abstractNumId w:val="2"/>
  </w:num>
  <w:num w:numId="2" w16cid:durableId="280264498">
    <w:abstractNumId w:val="6"/>
  </w:num>
  <w:num w:numId="3" w16cid:durableId="240287664">
    <w:abstractNumId w:val="3"/>
  </w:num>
  <w:num w:numId="4" w16cid:durableId="1254821882">
    <w:abstractNumId w:val="4"/>
  </w:num>
  <w:num w:numId="5" w16cid:durableId="585001185">
    <w:abstractNumId w:val="0"/>
  </w:num>
  <w:num w:numId="6" w16cid:durableId="688414705">
    <w:abstractNumId w:val="1"/>
  </w:num>
  <w:num w:numId="7" w16cid:durableId="173343154">
    <w:abstractNumId w:val="5"/>
  </w:num>
  <w:num w:numId="8" w16cid:durableId="15005798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D31"/>
    <w:rsid w:val="000433E2"/>
    <w:rsid w:val="00057751"/>
    <w:rsid w:val="00067B26"/>
    <w:rsid w:val="00076801"/>
    <w:rsid w:val="00083177"/>
    <w:rsid w:val="0008323E"/>
    <w:rsid w:val="000A124B"/>
    <w:rsid w:val="000A407B"/>
    <w:rsid w:val="000A4E4D"/>
    <w:rsid w:val="000C6123"/>
    <w:rsid w:val="000E2009"/>
    <w:rsid w:val="00110140"/>
    <w:rsid w:val="0013439F"/>
    <w:rsid w:val="00147BBB"/>
    <w:rsid w:val="00154430"/>
    <w:rsid w:val="00161F30"/>
    <w:rsid w:val="00172E82"/>
    <w:rsid w:val="00176A72"/>
    <w:rsid w:val="00187073"/>
    <w:rsid w:val="00191156"/>
    <w:rsid w:val="001B73A4"/>
    <w:rsid w:val="001C55B5"/>
    <w:rsid w:val="001E0C6C"/>
    <w:rsid w:val="00201C5E"/>
    <w:rsid w:val="00203203"/>
    <w:rsid w:val="00205D31"/>
    <w:rsid w:val="00242F5D"/>
    <w:rsid w:val="00247560"/>
    <w:rsid w:val="00272D1B"/>
    <w:rsid w:val="00275AB0"/>
    <w:rsid w:val="00276722"/>
    <w:rsid w:val="002D4FF9"/>
    <w:rsid w:val="002D6F4E"/>
    <w:rsid w:val="002E0830"/>
    <w:rsid w:val="002E2C93"/>
    <w:rsid w:val="002F00E1"/>
    <w:rsid w:val="00351986"/>
    <w:rsid w:val="00385E19"/>
    <w:rsid w:val="003D04B7"/>
    <w:rsid w:val="003D3AE2"/>
    <w:rsid w:val="003D6685"/>
    <w:rsid w:val="003F0205"/>
    <w:rsid w:val="00402416"/>
    <w:rsid w:val="004069D5"/>
    <w:rsid w:val="00410F52"/>
    <w:rsid w:val="00425E5B"/>
    <w:rsid w:val="00430C0D"/>
    <w:rsid w:val="00434E64"/>
    <w:rsid w:val="00446795"/>
    <w:rsid w:val="0045199C"/>
    <w:rsid w:val="00453BF4"/>
    <w:rsid w:val="0046378E"/>
    <w:rsid w:val="00463DB7"/>
    <w:rsid w:val="00473975"/>
    <w:rsid w:val="004B40E4"/>
    <w:rsid w:val="004C28CB"/>
    <w:rsid w:val="004E292C"/>
    <w:rsid w:val="004E32F5"/>
    <w:rsid w:val="004F1E0E"/>
    <w:rsid w:val="004F4119"/>
    <w:rsid w:val="0051335F"/>
    <w:rsid w:val="0052058A"/>
    <w:rsid w:val="00531E2E"/>
    <w:rsid w:val="0054415A"/>
    <w:rsid w:val="00545212"/>
    <w:rsid w:val="005576E6"/>
    <w:rsid w:val="00571B2A"/>
    <w:rsid w:val="00576B30"/>
    <w:rsid w:val="00593B6B"/>
    <w:rsid w:val="005C6BBB"/>
    <w:rsid w:val="005C73C2"/>
    <w:rsid w:val="005D0EC1"/>
    <w:rsid w:val="005D29C9"/>
    <w:rsid w:val="005F3807"/>
    <w:rsid w:val="005F3B3D"/>
    <w:rsid w:val="006022C4"/>
    <w:rsid w:val="00634B4A"/>
    <w:rsid w:val="00656BEC"/>
    <w:rsid w:val="006622F5"/>
    <w:rsid w:val="006637E0"/>
    <w:rsid w:val="00681B6F"/>
    <w:rsid w:val="006E5E66"/>
    <w:rsid w:val="006E76A5"/>
    <w:rsid w:val="007057E9"/>
    <w:rsid w:val="00715E69"/>
    <w:rsid w:val="00724623"/>
    <w:rsid w:val="00735669"/>
    <w:rsid w:val="007428EB"/>
    <w:rsid w:val="007657EA"/>
    <w:rsid w:val="00772FFF"/>
    <w:rsid w:val="00777457"/>
    <w:rsid w:val="00793EA6"/>
    <w:rsid w:val="007D798A"/>
    <w:rsid w:val="007D7D58"/>
    <w:rsid w:val="007E45A9"/>
    <w:rsid w:val="007F44CD"/>
    <w:rsid w:val="007F4ECC"/>
    <w:rsid w:val="007F517C"/>
    <w:rsid w:val="0082451B"/>
    <w:rsid w:val="00833E37"/>
    <w:rsid w:val="00861134"/>
    <w:rsid w:val="008616AA"/>
    <w:rsid w:val="008977FB"/>
    <w:rsid w:val="008A31D6"/>
    <w:rsid w:val="008B5E43"/>
    <w:rsid w:val="008C16F2"/>
    <w:rsid w:val="00903CC5"/>
    <w:rsid w:val="009061C4"/>
    <w:rsid w:val="0094697E"/>
    <w:rsid w:val="00955135"/>
    <w:rsid w:val="00965049"/>
    <w:rsid w:val="009731D3"/>
    <w:rsid w:val="00992B61"/>
    <w:rsid w:val="009B42F6"/>
    <w:rsid w:val="00A03770"/>
    <w:rsid w:val="00A27AFF"/>
    <w:rsid w:val="00A435BE"/>
    <w:rsid w:val="00A65CAB"/>
    <w:rsid w:val="00A87132"/>
    <w:rsid w:val="00AA5A1F"/>
    <w:rsid w:val="00B10551"/>
    <w:rsid w:val="00B204E1"/>
    <w:rsid w:val="00B55BEB"/>
    <w:rsid w:val="00B83849"/>
    <w:rsid w:val="00B91F60"/>
    <w:rsid w:val="00B96A5D"/>
    <w:rsid w:val="00BA232E"/>
    <w:rsid w:val="00BA7C2A"/>
    <w:rsid w:val="00BB65F3"/>
    <w:rsid w:val="00BF3CE8"/>
    <w:rsid w:val="00C009A7"/>
    <w:rsid w:val="00C45E79"/>
    <w:rsid w:val="00C63947"/>
    <w:rsid w:val="00C77450"/>
    <w:rsid w:val="00C80C3A"/>
    <w:rsid w:val="00C847E1"/>
    <w:rsid w:val="00CA1387"/>
    <w:rsid w:val="00CA1D63"/>
    <w:rsid w:val="00CC633F"/>
    <w:rsid w:val="00CC7F6E"/>
    <w:rsid w:val="00CD6233"/>
    <w:rsid w:val="00CF449D"/>
    <w:rsid w:val="00D06871"/>
    <w:rsid w:val="00D171E5"/>
    <w:rsid w:val="00D22637"/>
    <w:rsid w:val="00D26885"/>
    <w:rsid w:val="00D3731D"/>
    <w:rsid w:val="00D61029"/>
    <w:rsid w:val="00D62608"/>
    <w:rsid w:val="00D73E4E"/>
    <w:rsid w:val="00DA4DE7"/>
    <w:rsid w:val="00DC111C"/>
    <w:rsid w:val="00E117F6"/>
    <w:rsid w:val="00E70D2C"/>
    <w:rsid w:val="00E80AB3"/>
    <w:rsid w:val="00EA2FA6"/>
    <w:rsid w:val="00EC3B1B"/>
    <w:rsid w:val="00ED673E"/>
    <w:rsid w:val="00F31186"/>
    <w:rsid w:val="00F63288"/>
    <w:rsid w:val="00F64147"/>
    <w:rsid w:val="00F67E48"/>
    <w:rsid w:val="00FB2E34"/>
    <w:rsid w:val="00FD4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ECEE"/>
  <w15:docId w15:val="{1C5609C9-4010-406F-AC0C-79DEB1C67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character" w:styleId="Refdecomentario">
    <w:name w:val="annotation reference"/>
    <w:basedOn w:val="Fuentedeprrafopredeter"/>
    <w:uiPriority w:val="99"/>
    <w:semiHidden/>
    <w:unhideWhenUsed/>
    <w:rsid w:val="00DB7BDA"/>
    <w:rPr>
      <w:sz w:val="16"/>
      <w:szCs w:val="16"/>
    </w:rPr>
  </w:style>
  <w:style w:type="paragraph" w:styleId="Textocomentario">
    <w:name w:val="annotation text"/>
    <w:basedOn w:val="Normal"/>
    <w:link w:val="TextocomentarioCar"/>
    <w:uiPriority w:val="99"/>
    <w:semiHidden/>
    <w:unhideWhenUsed/>
    <w:rsid w:val="00DB7BD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B7BDA"/>
    <w:rPr>
      <w:sz w:val="20"/>
      <w:szCs w:val="20"/>
    </w:rPr>
  </w:style>
  <w:style w:type="paragraph" w:styleId="Asuntodelcomentario">
    <w:name w:val="annotation subject"/>
    <w:basedOn w:val="Textocomentario"/>
    <w:next w:val="Textocomentario"/>
    <w:link w:val="AsuntodelcomentarioCar"/>
    <w:uiPriority w:val="99"/>
    <w:semiHidden/>
    <w:unhideWhenUsed/>
    <w:rsid w:val="00DB7BDA"/>
    <w:rPr>
      <w:b/>
      <w:bCs/>
    </w:rPr>
  </w:style>
  <w:style w:type="character" w:customStyle="1" w:styleId="AsuntodelcomentarioCar">
    <w:name w:val="Asunto del comentario Car"/>
    <w:basedOn w:val="TextocomentarioCar"/>
    <w:link w:val="Asuntodelcomentario"/>
    <w:uiPriority w:val="99"/>
    <w:semiHidden/>
    <w:rsid w:val="00DB7BDA"/>
    <w:rPr>
      <w:b/>
      <w:bCs/>
      <w:sz w:val="20"/>
      <w:szCs w:val="20"/>
    </w:rPr>
  </w:style>
  <w:style w:type="paragraph" w:styleId="Revisin">
    <w:name w:val="Revision"/>
    <w:hidden/>
    <w:uiPriority w:val="99"/>
    <w:semiHidden/>
    <w:rsid w:val="00DB7BDA"/>
    <w:pPr>
      <w:spacing w:line="240" w:lineRule="auto"/>
    </w:pPr>
  </w:style>
  <w:style w:type="paragraph" w:styleId="Subttulo">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B55BEB"/>
    <w:pPr>
      <w:spacing w:before="100" w:beforeAutospacing="1" w:after="100" w:afterAutospacing="1" w:line="240" w:lineRule="auto"/>
    </w:pPr>
    <w:rPr>
      <w:rFonts w:ascii="Times New Roman" w:eastAsia="Times New Roman" w:hAnsi="Times New Roman" w:cs="Times New Roman"/>
      <w:sz w:val="24"/>
      <w:szCs w:val="24"/>
      <w:lang w:val="es-VE" w:eastAsia="es-MX"/>
    </w:rPr>
  </w:style>
  <w:style w:type="character" w:styleId="Fuerte">
    <w:name w:val="Strong"/>
    <w:basedOn w:val="Fuentedeprrafopredeter"/>
    <w:uiPriority w:val="22"/>
    <w:qFormat/>
    <w:rsid w:val="00B55BEB"/>
    <w:rPr>
      <w:b/>
      <w:bCs/>
    </w:rPr>
  </w:style>
  <w:style w:type="character" w:styleId="nfasis">
    <w:name w:val="Emphasis"/>
    <w:basedOn w:val="Fuentedeprrafopredeter"/>
    <w:uiPriority w:val="20"/>
    <w:qFormat/>
    <w:rsid w:val="00B55BEB"/>
    <w:rPr>
      <w:i/>
      <w:iCs/>
    </w:rPr>
  </w:style>
  <w:style w:type="paragraph" w:customStyle="1" w:styleId="font-claude-response-body">
    <w:name w:val="font-claude-response-body"/>
    <w:basedOn w:val="Normal"/>
    <w:rsid w:val="00A03770"/>
    <w:pPr>
      <w:spacing w:before="100" w:beforeAutospacing="1" w:after="100" w:afterAutospacing="1" w:line="240" w:lineRule="auto"/>
    </w:pPr>
    <w:rPr>
      <w:rFonts w:ascii="Times New Roman" w:eastAsia="Times New Roman" w:hAnsi="Times New Roman" w:cs="Times New Roman"/>
      <w:sz w:val="24"/>
      <w:szCs w:val="24"/>
      <w:lang w:val="es-VE" w:eastAsia="es-MX"/>
    </w:rPr>
  </w:style>
  <w:style w:type="paragraph" w:customStyle="1" w:styleId="whitespace-normal">
    <w:name w:val="whitespace-normal"/>
    <w:basedOn w:val="Normal"/>
    <w:rsid w:val="00A03770"/>
    <w:pPr>
      <w:spacing w:before="100" w:beforeAutospacing="1" w:after="100" w:afterAutospacing="1" w:line="240" w:lineRule="auto"/>
    </w:pPr>
    <w:rPr>
      <w:rFonts w:ascii="Times New Roman" w:eastAsia="Times New Roman" w:hAnsi="Times New Roman" w:cs="Times New Roman"/>
      <w:sz w:val="24"/>
      <w:szCs w:val="24"/>
      <w:lang w:val="es-VE" w:eastAsia="es-MX"/>
    </w:rPr>
  </w:style>
  <w:style w:type="paragraph" w:customStyle="1" w:styleId="is-empty">
    <w:name w:val="is-empty"/>
    <w:basedOn w:val="Normal"/>
    <w:rsid w:val="00A03770"/>
    <w:pPr>
      <w:spacing w:before="100" w:beforeAutospacing="1" w:after="100" w:afterAutospacing="1" w:line="240" w:lineRule="auto"/>
    </w:pPr>
    <w:rPr>
      <w:rFonts w:ascii="Times New Roman" w:eastAsia="Times New Roman" w:hAnsi="Times New Roman" w:cs="Times New Roman"/>
      <w:sz w:val="24"/>
      <w:szCs w:val="24"/>
      <w:lang w:val="es-VE" w:eastAsia="es-MX"/>
    </w:rPr>
  </w:style>
  <w:style w:type="paragraph" w:styleId="Prrafodelista">
    <w:name w:val="List Paragraph"/>
    <w:basedOn w:val="Normal"/>
    <w:uiPriority w:val="34"/>
    <w:qFormat/>
    <w:rsid w:val="00B838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3cXRUhBTlS18ejizKP9L7GO3eQ==">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lCgIyMBIfCh0IB0IZCgVBcmltbxIQQXJpYWwgVW5pY29kZSBNUxolCgIyMRIfCh0IB0IZCgVBcmltbxIQQXJpYWwgVW5pY29kZSBNUxolCgIyMhIfCh0IB0IZCgVBcmltbxIQQXJpYWwgVW5pY29kZSBNUxolCgIyMxIfCh0IB0IZCgVBcmltbxIQQXJpYWwgVW5pY29kZSBNUxolCgIyNBIfCh0IB0IZCgVBcmltbxIQQXJpYWwgVW5pY29kZSBNUxolCgIyNRIfCh0IB0IZCgVBcmltbxIQQXJpYWwgVW5pY29kZSBNUxolCgIyNhIfCh0IB0IZCgVBcmltbxIQQXJpYWwgVW5pY29kZSBNUxolCgIyNxIfCh0IB0IZCgVBcmltbxIQQXJpYWwgVW5pY29kZSBNUxolCgIyOBIfCh0IB0IZCgVBcmltbxIQQXJpYWwgVW5pY29kZSBNUxolCgIyORIfCh0IB0IZCgVBcmltbxIQQXJpYWwgVW5pY29kZSBNUxolCgIzMBIfCh0IB0IZCgVBcmltbxIQQXJpYWwgVW5pY29kZSBNUxolCgIzMRIfCh0IB0IZCgVBcmltbxIQQXJpYWwgVW5pY29kZSBNUzIOaC5wcWJ2dnNueDFkNnEyDmguNGY0NTN6cWg1MWg3Mg5oLncxa3E2ZmhtandjZTIOaC5wODdlbmc2c3gzOWcyDWguOHR5aXh3a211c2gyDmguanQ1d2piZjI5amNqMg5oLmx6ZHE1NnJ0NDZ6cjIOaC5zYm9yN3Z1dHZ1cHAyDmguNWU3Mmxwazd2enN4Mg5oLnRmdDlqaWwyZjNhaDIOaC50Y251dTRkNXV6bHUyDmgub2ExcjNlbGF5bmJ1Mg5oLnllcDU1bjJ3bzI0azIOaC5hNXJla2xpOWx0NGgyDmguZGdmemFsNjVoM3psMg5oLmZ1ZWJ6bGRseXVzaTIOaC40Njh6b2c1Z3NtaHYyDmguaGtwdjZkdDQycWZ5Mg1oLnVsdWF2cnY2NTU3Mg5oLnAyY2dha2w5MmpiajIOaC5waGdscXFhZG5ydnoyDmguMTNtdjY5OWs5cDQ1Mg5oLjZjbnRwa21qbXFlODIOaC44MmZxYjdiNm5jZncyDWguMWZ6ZWMxYzdveTcyDmguNTQwNjl4Ym9wYXltMg5oLjIza3p6cmUwZDh6MzIOaC5zbmJ5MmcyYW5zN2cyDmgubjB3amxuejAwNHo2Mg5oLng4bWh1eW9ibzk1ajIOaC40NHZxMmxtc2h4dG4yDmgucGZydTQzODczOTc5Mg5oLm1jczUzeTZ5MGs1NzIOaC54czc2bm5xOXVudW8yDmguejlwdjZrdWJrMTE5Mg5oLjd5ZHVod2Joa2dhMzIOaC5kcGRpaWlkaTR4MHQyDmguYmNrc2ZocDY1MGUyMg5oLmZ5eXd0YzcwZnFkdzIOaC55Mm1heTZ3NjRyczgyDmguZmJ0NXRybHRra2k5Mg5oLnU1NXE0YnVsbnE0ODIOaC55a3ZqZnl6Y2IxbmwyDmguNTRlMHc4NHhwcDIwMg5oLnA0aG9raGg4bm8xbTIOaC5wOHZoczZ5aDBlYXIyDWgudnM0eWg5eTZlNGEyDmgueTBueHFuNHZzd2o2Mg5oLmx3Y2Vod2wybXA1MjIOaC40aDhpMGdmbmt2bWwyDmguanJsbXF6eXV2OWM4Mg5oLjVhaDhlN3Bjdzd4aDIOaC5tM2JvdDkyanFzMXUyDmguOTIzd3JodHF5ZHB6Mg5oLmljazJpZnFhNXk2dTIOaC5meHl1cHRyaWxkNzY4AGpMCjdzdWdnZXN0SWRJbXBvcnQ4YTE3MzYyMi1jMmI1LTQ4NTItOTZjMS0xMzU1NjYzZDUzMmVfMTUwEhFKb3NlIFNhbmRvdmFsLVN1c2pMCjdzdWdnZXN0SWRJbXBvcnQ4YTE3MzYyMi1jMmI1LTQ4NTItOTZjMS0xMzU1NjYzZDUzMmVfMzkyEhFKb3NlIFNhbmRvdmFsLVN1c2pKCjVzdWdnZXN0SWRJbXBvcnQ4YTE3MzYyMi1jMmI1LTQ4NTItOTZjMS0xMzU1NjYzZDUzMmVfOBIRSm9zZSBTYW5kb3ZhbC1TdXNqTAo3c3VnZ2VzdElkSW1wb3J0OGExNzM2MjItYzJiNS00ODUyLTk2YzEtMTM1NTY2M2Q1MzJlXzE0MhIRSm9zZSBTYW5kb3ZhbC1TdXNqTAo3c3VnZ2VzdElkSW1wb3J0OGExNzM2MjItYzJiNS00ODUyLTk2YzEtMTM1NTY2M2Q1MzJlXzM4MxIRSm9zZSBTYW5kb3ZhbC1TdXNqTAo3c3VnZ2VzdElkSW1wb3J0OGExNzM2MjItYzJiNS00ODUyLTk2YzEtMTM1NTY2M2Q1MzJlXzM3MBIRSm9zZSBTYW5kb3ZhbC1TdXNqTAo3c3VnZ2VzdElkSW1wb3J0OGExNzM2MjItYzJiNS00ODUyLTk2YzEtMTM1NTY2M2Q1MzJlXzEzMhIRSm9zZSBTYW5kb3ZhbC1TdXNqTAo3c3VnZ2VzdElkSW1wb3J0OGExNzM2MjItYzJiNS00ODUyLTk2YzEtMTM1NTY2M2Q1MzJlXzE5ORIRSm9zZSBTYW5kb3ZhbC1TdXNqTAo3c3VnZ2VzdElkSW1wb3J0OGExNzM2MjItYzJiNS00ODUyLTk2YzEtMTM1NTY2M2Q1MzJlXzE4MBIRSm9zZSBTYW5kb3ZhbC1TdXNqTAo3c3VnZ2VzdElkSW1wb3J0OGExNzM2MjItYzJiNS00ODUyLTk2YzEtMTM1NTY2M2Q1MzJlXzM4MhIRSm9zZSBTYW5kb3ZhbC1TdXNqSgo1c3VnZ2VzdElkSW1wb3J0OGExNzM2MjItYzJiNS00ODUyLTk2YzEtMTM1NTY2M2Q1MzJlXzYSEUpvc2UgU2FuZG92YWwtU3VzakwKN3N1Z2dlc3RJZEltcG9ydDhhMTczNjIyLWMyYjUtNDg1Mi05NmMxLTEzNTU2NjNkNTMyZV8yODgSEUpvc2UgU2FuZG92YWwtU3VzakwKN3N1Z2dlc3RJZEltcG9ydDhhMTczNjIyLWMyYjUtNDg1Mi05NmMxLTEzNTU2NjNkNTMyZV8xNDESEUpvc2UgU2FuZG92YWwtU3VzakwKN3N1Z2dlc3RJZEltcG9ydDhhMTczNjIyLWMyYjUtNDg1Mi05NmMxLTEzNTU2NjNkNTMyZV8yOTMSEUpvc2UgU2FuZG92YWwtU3VzakwKN3N1Z2dlc3RJZEltcG9ydDhhMTczNjIyLWMyYjUtNDg1Mi05NmMxLTEzNTU2NjNkNTMyZV8zNTASEUpvc2UgU2FuZG92YWwtU3VzakwKN3N1Z2dlc3RJZEltcG9ydDhhMTczNjIyLWMyYjUtNDg1Mi05NmMxLTEzNTU2NjNkNTMyZV8zNTUSEUpvc2UgU2FuZG92YWwtU3VzaksKNnN1Z2dlc3RJZEltcG9ydDhhMTczNjIyLWMyYjUtNDg1Mi05NmMxLTEzNTU2NjNkNTMyZV85MhIRSm9zZSBTYW5kb3ZhbC1TdXNqTAo3c3VnZ2VzdElkSW1wb3J0OGExNzM2MjItYzJiNS00ODUyLTk2YzEtMTM1NTY2M2Q1MzJlXzI5MhIRSm9zZSBTYW5kb3ZhbC1TdXNqTAo3c3VnZ2VzdElkSW1wb3J0OGExNzM2MjItYzJiNS00ODUyLTk2YzEtMTM1NTY2M2Q1MzJlXzMzNBIRSm9zZSBTYW5kb3ZhbC1TdXNqTAo3c3VnZ2VzdElkSW1wb3J0OGExNzM2MjItYzJiNS00ODUyLTk2YzEtMTM1NTY2M2Q1MzJlXzMwMBIRSm9zZSBTYW5kb3ZhbC1TdXNqTAo3c3VnZ2VzdElkSW1wb3J0OGExNzM2MjItYzJiNS00ODUyLTk2YzEtMTM1NTY2M2Q1MzJlXzIwMRIRSm9zZSBTYW5kb3ZhbC1TdXNqTAo3c3VnZ2VzdElkSW1wb3J0OGExNzM2MjItYzJiNS00ODUyLTk2YzEtMTM1NTY2M2Q1MzJlXzIxNhIRSm9zZSBTYW5kb3ZhbC1TdXNqSwo2c3VnZ2VzdElkSW1wb3J0OGExNzM2MjItYzJiNS00ODUyLTk2YzEtMTM1NTY2M2Q1MzJlXzI2EhFKb3NlIFNhbmRvdmFsLVN1c2pLCjZzdWdnZXN0SWRJbXBvcnQ4YTE3MzYyMi1jMmI1LTQ4NTItOTZjMS0xMzU1NjYzZDUzMmVfNDcSEUpvc2UgU2FuZG92YWwtU3VzakwKN3N1Z2dlc3RJZEltcG9ydDhhMTczNjIyLWMyYjUtNDg1Mi05NmMxLTEzNTU2NjNkNTMyZV8xMzQSEUpvc2UgU2FuZG92YWwtU3VzakwKN3N1Z2dlc3RJZEltcG9ydDhhMTczNjIyLWMyYjUtNDg1Mi05NmMxLTEzNTU2NjNkNTMyZV8xNDMSEUpvc2UgU2FuZG92YWwtU3VzakwKN3N1Z2dlc3RJZEltcG9ydDhhMTczNjIyLWMyYjUtNDg1Mi05NmMxLTEzNTU2NjNkNTMyZV8yNjASEUpvc2UgU2FuZG92YWwtU3VzakwKN3N1Z2dlc3RJZEltcG9ydDhhMTczNjIyLWMyYjUtNDg1Mi05NmMxLTEzNTU2NjNkNTMyZV80MDESEUpvc2UgU2FuZG92YWwtU3VzakwKN3N1Z2dlc3RJZEltcG9ydDhhMTczNjIyLWMyYjUtNDg1Mi05NmMxLTEzNTU2NjNkNTMyZV8xODYSEUpvc2UgU2FuZG92YWwtU3VzakwKN3N1Z2dlc3RJZEltcG9ydDhhMTczNjIyLWMyYjUtNDg1Mi05NmMxLTEzNTU2NjNkNTMyZV8zOTASEUpvc2UgU2FuZG92YWwtU3VzakwKN3N1Z2dlc3RJZEltcG9ydDhhMTczNjIyLWMyYjUtNDg1Mi05NmMxLTEzNTU2NjNkNTMyZV8zMzgSEUpvc2UgU2FuZG92YWwtU3VzakwKN3N1Z2dlc3RJZEltcG9ydDhhMTczNjIyLWMyYjUtNDg1Mi05NmMxLTEzNTU2NjNkNTMyZV8xNDgSEUpvc2UgU2FuZG92YWwtU3VzaksKNnN1Z2dlc3RJZEltcG9ydDhhMTczNjIyLWMyYjUtNDg1Mi05NmMxLTEzNTU2NjNkNTMyZV8yOBIRSm9zZSBTYW5kb3ZhbC1TdXNqSwo2c3VnZ2VzdElkSW1wb3J0OGExNzM2MjItYzJiNS00ODUyLTk2YzEtMTM1NTY2M2Q1MzJlXzY0EhFKb3NlIFNhbmRvdmFsLVN1c2pLCjZzdWdnZXN0SWRJbXBvcnQ4YTE3MzYyMi1jMmI1LTQ4NTItOTZjMS0xMzU1NjYzZDUzMmVfMTgSEUpvc2UgU2FuZG92YWwtU3VzaksKNnN1Z2dlc3RJZEltcG9ydDhhMTczNjIyLWMyYjUtNDg1Mi05NmMxLTEzNTU2NjNkNTMyZV85NhIRSm9zZSBTYW5kb3ZhbC1TdXNqTAo3c3VnZ2VzdElkSW1wb3J0OGExNzM2MjItYzJiNS00ODUyLTk2YzEtMTM1NTY2M2Q1MzJlXzM5OBIRSm9zZSBTYW5kb3ZhbC1TdXNqTAo3c3VnZ2VzdElkSW1wb3J0OGExNzM2MjItYzJiNS00ODUyLTk2YzEtMTM1NTY2M2Q1MzJlXzEwMBIRSm9zZSBTYW5kb3ZhbC1TdXNqSwo2c3VnZ2VzdElkSW1wb3J0OGExNzM2MjItYzJiNS00ODUyLTk2YzEtMTM1NTY2M2Q1MzJlXzIxEhFKb3NlIFNhbmRvdmFsLVN1c2pMCjdzdWdnZXN0SWRJbXBvcnQ4YTE3MzYyMi1jMmI1LTQ4NTItOTZjMS0xMzU1NjYzZDUzMmVfNDE5EhFKb3NlIFNhbmRvdmFsLVN1c2pMCjdzdWdnZXN0SWRJbXBvcnQ4YTE3MzYyMi1jMmI1LTQ4NTItOTZjMS0xMzU1NjYzZDUzMmVfMjExEhFKb3NlIFNhbmRvdmFsLVN1c2pMCjdzdWdnZXN0SWRJbXBvcnQ4YTE3MzYyMi1jMmI1LTQ4NTItOTZjMS0xMzU1NjYzZDUzMmVfMzA4EhFKb3NlIFNhbmRvdmFsLVN1c2pMCjdzdWdnZXN0SWRJbXBvcnQ4YTE3MzYyMi1jMmI1LTQ4NTItOTZjMS0xMzU1NjYzZDUzMmVfMjgxEhFKb3NlIFNhbmRvdmFsLVN1c2pMCjdzdWdnZXN0SWRJbXBvcnQ4YTE3MzYyMi1jMmI1LTQ4NTItOTZjMS0xMzU1NjYzZDUzMmVfMTI4EhFKb3NlIFNhbmRvdmFsLVN1c2pMCjdzdWdnZXN0SWRJbXBvcnQ4YTE3MzYyMi1jMmI1LTQ4NTItOTZjMS0xMzU1NjYzZDUzMmVfMTc4EhFKb3NlIFNhbmRvdmFsLVN1c2pLCjZzdWdnZXN0SWRJbXBvcnQ4YTE3MzYyMi1jMmI1LTQ4NTItOTZjMS0xMzU1NjYzZDUzMmVfNTMSEUpvc2UgU2FuZG92YWwtU3VzakwKN3N1Z2dlc3RJZEltcG9ydDhhMTczNjIyLWMyYjUtNDg1Mi05NmMxLTEzNTU2NjNkNTMyZV8yODYSEUpvc2UgU2FuZG92YWwtU3VzaksKNnN1Z2dlc3RJZEltcG9ydDhhMTczNjIyLWMyYjUtNDg1Mi05NmMxLTEzNTU2NjNkNTMyZV8xMxIRSm9zZSBTYW5kb3ZhbC1TdXNqTAo3c3VnZ2VzdElkSW1wb3J0OGExNzM2MjItYzJiNS00ODUyLTk2YzEtMTM1NTY2M2Q1MzJlXzQyMBIRSm9zZSBTYW5kb3ZhbC1TdXNqTAo3c3VnZ2VzdElkSW1wb3J0OGExNzM2MjItYzJiNS00ODUyLTk2YzEtMTM1NTY2M2Q1MzJlXzMxNxIRSm9zZSBTYW5kb3ZhbC1TdXNqTAo3c3VnZ2VzdElkSW1wb3J0OGExNzM2MjItYzJiNS00ODUyLTk2YzEtMTM1NTY2M2Q1MzJlXzQyMxIRSm9zZSBTYW5kb3ZhbC1TdXNqTAo3c3VnZ2VzdElkSW1wb3J0OGExNzM2MjItYzJiNS00ODUyLTk2YzEtMTM1NTY2M2Q1MzJlXzM3OBIRSm9zZSBTYW5kb3ZhbC1TdXNqSwo2c3VnZ2VzdElkSW1wb3J0OGExNzM2MjItYzJiNS00ODUyLTk2YzEtMTM1NTY2M2Q1MzJlXzM2EhFKb3NlIFNhbmRvdmFsLVN1c2pMCjdzdWdnZXN0SWRJbXBvcnQ4YTE3MzYyMi1jMmI1LTQ4NTItOTZjMS0xMzU1NjYzZDUzMmVfMjI2EhFKb3NlIFNhbmRvdmFsLVN1c2pMCjdzdWdnZXN0SWRJbXBvcnQ4YTE3MzYyMi1jMmI1LTQ4NTItOTZjMS0xMzU1NjYzZDUzMmVfMjM1EhFKb3NlIFNhbmRvdmFsLVN1c2pMCjdzdWdnZXN0SWRJbXBvcnQ4YTE3MzYyMi1jMmI1LTQ4NTItOTZjMS0xMzU1NjYzZDUzMmVfMTg0EhFKb3NlIFNhbmRvdmFsLVN1c2pMCjdzdWdnZXN0SWRJbXBvcnQ4YTE3MzYyMi1jMmI1LTQ4NTItOTZjMS0xMzU1NjYzZDUzMmVfMjA2EhFKb3NlIFNhbmRvdmFsLVN1c2pLCjZzdWdnZXN0SWRJbXBvcnQ4YTE3MzYyMi1jMmI1LTQ4NTItOTZjMS0xMzU1NjYzZDUzMmVfMTYSEUpvc2UgU2FuZG92YWwtU3VzakwKN3N1Z2dlc3RJZEltcG9ydDhhMTczNjIyLWMyYjUtNDg1Mi05NmMxLTEzNTU2NjNkNTMyZV8xMTESEUpvc2UgU2FuZG92YWwtU3VzakwKN3N1Z2dlc3RJZEltcG9ydDhhMTczNjIyLWMyYjUtNDg1Mi05NmMxLTEzNTU2NjNkNTMyZV8xODkSEUpvc2UgU2FuZG92YWwtU3VzakwKN3N1Z2dlc3RJZEltcG9ydDhhMTczNjIyLWMyYjUtNDg1Mi05NmMxLTEzNTU2NjNkNTMyZV8zOTkSEUpvc2UgU2FuZG92YWwtU3VzaksKNnN1Z2dlc3RJZEltcG9ydDhhMTczNjIyLWMyYjUtNDg1Mi05NmMxLTEzNTU2NjNkNTMyZV83MhIRSm9zZSBTYW5kb3ZhbC1TdXNqTAo3c3VnZ2VzdElkSW1wb3J0OGExNzM2MjItYzJiNS00ODUyLTk2YzEtMTM1NTY2M2Q1MzJlXzI4NBIRSm9zZSBTYW5kb3ZhbC1TdXNqSwo2c3VnZ2VzdElkSW1wb3J0OGExNzM2MjItYzJiNS00ODUyLTk2YzEtMTM1NTY2M2Q1MzJlXzY3EhFKb3NlIFNhbmRvdmFsLVN1c2pMCjdzdWdnZXN0SWRJbXBvcnQ4YTE3MzYyMi1jMmI1LTQ4NTItOTZjMS0xMzU1NjYzZDUzMmVfMzMxEhFKb3NlIFNhbmRvdmFsLVN1c2pMCjdzdWdnZXN0SWRJbXBvcnQ4YTE3MzYyMi1jMmI1LTQ4NTItOTZjMS0xMzU1NjYzZDUzMmVfMzEyEhFKb3NlIFNhbmRvdmFsLVN1c2pLCjZzdWdnZXN0SWRJbXBvcnQ4YTE3MzYyMi1jMmI1LTQ4NTItOTZjMS0xMzU1NjYzZDUzMmVfNDASEUpvc2UgU2FuZG92YWwtU3VzaksKNnN1Z2dlc3RJZEltcG9ydDhhMTczNjIyLWMyYjUtNDg1Mi05NmMxLTEzNTU2NjNkNTMyZV81ORIRSm9zZSBTYW5kb3ZhbC1TdXNqTAo3c3VnZ2VzdElkSW1wb3J0OGExNzM2MjItYzJiNS00ODUyLTk2YzEtMTM1NTY2M2Q1MzJlXzI3MxIRSm9zZSBTYW5kb3ZhbC1TdXNqTAo3c3VnZ2VzdElkSW1wb3J0OGExNzM2MjItYzJiNS00ODUyLTk2YzEtMTM1NTY2M2Q1MzJlXzMyNhIRSm9zZSBTYW5kb3ZhbC1TdXNqSwo2c3VnZ2VzdElkSW1wb3J0OGExNzM2MjItYzJiNS00ODUyLTk2YzEtMTM1NTY2M2Q1MzJlXzgyEhFKb3NlIFNhbmRvdmFsLVN1c2pKCjVzdWdnZXN0SWRJbXBvcnQ4YTE3MzYyMi1jMmI1LTQ4NTItOTZjMS0xMzU1NjYzZDUzMmVfMRIRSm9zZSBTYW5kb3ZhbC1TdXNqSgo1c3VnZ2VzdElkSW1wb3J0OGExNzM2MjItYzJiNS00ODUyLTk2YzEtMTM1NTY2M2Q1MzJlXzkSEUpvc2UgU2FuZG92YWwtU3VzakwKN3N1Z2dlc3RJZEltcG9ydDhhMTczNjIyLWMyYjUtNDg1Mi05NmMxLTEzNTU2NjNkNTMyZV8xMzkSEUpvc2UgU2FuZG92YWwtU3VzakwKN3N1Z2dlc3RJZEltcG9ydDhhMTczNjIyLWMyYjUtNDg1Mi05NmMxLTEzNTU2NjNkNTMyZV8xMzASEUpvc2UgU2FuZG92YWwtU3VzaksKNnN1Z2dlc3RJZEltcG9ydDhhMTczNjIyLWMyYjUtNDg1Mi05NmMxLTEzNTU2NjNkNTMyZV8zMRIRSm9zZSBTYW5kb3ZhbC1TdXNqTAo3c3VnZ2VzdElkSW1wb3J0OGExNzM2MjItYzJiNS00ODUyLTk2YzEtMTM1NTY2M2Q1MzJlXzIxOBIRSm9zZSBTYW5kb3ZhbC1TdXNqTAo3c3VnZ2VzdElkSW1wb3J0OGExNzM2MjItYzJiNS00ODUyLTk2YzEtMTM1NTY2M2Q1MzJlXzQxNhIRSm9zZSBTYW5kb3ZhbC1TdXNqTAo3c3VnZ2VzdElkSW1wb3J0OGExNzM2MjItYzJiNS00ODUyLTk2YzEtMTM1NTY2M2Q1MzJlXzMxNhIRSm9zZSBTYW5kb3ZhbC1TdXNqTAo3c3VnZ2VzdElkSW1wb3J0OGExNzM2MjItYzJiNS00ODUyLTk2YzEtMTM1NTY2M2Q1MzJlXzIyMRIRSm9zZSBTYW5kb3ZhbC1TdXNqTAo3c3VnZ2VzdElkSW1wb3J0OGExNzM2MjItYzJiNS00ODUyLTk2YzEtMTM1NTY2M2Q1MzJlXzMzNhIRSm9zZSBTYW5kb3ZhbC1TdXNqTAo3c3VnZ2VzdElkSW1wb3J0OGExNzM2MjItYzJiNS00ODUyLTk2YzEtMTM1NTY2M2Q1MzJlXzQwNBIRSm9zZSBTYW5kb3ZhbC1TdXNqTAo3c3VnZ2VzdElkSW1wb3J0OGExNzM2MjItYzJiNS00ODUyLTk2YzEtMTM1NTY2M2Q1MzJlXzE3MxIRSm9zZSBTYW5kb3ZhbC1TdXNqSwo2c3VnZ2VzdElkSW1wb3J0OGExNzM2MjItYzJiNS00ODUyLTk2YzEtMTM1NTY2M2Q1MzJlXzQ1EhFKb3NlIFNhbmRvdmFsLVN1c2pMCjdzdWdnZXN0SWRJbXBvcnQ4YTE3MzYyMi1jMmI1LTQ4NTItOTZjMS0xMzU1NjYzZDUzMmVfMzg5EhFKb3NlIFNhbmRvdmFsLVN1c2pMCjdzdWdnZXN0SWRJbXBvcnQ4YTE3MzYyMi1jMmI1LTQ4NTItOTZjMS0xMzU1NjYzZDUzMmVfMzI1EhFKb3NlIFNhbmRvdmFsLVN1c2pMCjdzdWdnZXN0SWRJbXBvcnQ4YTE3MzYyMi1jMmI1LTQ4NTItOTZjMS0xMzU1NjYzZDUzMmVfMTA0EhFKb3NlIFNhbmRvdmFsLVN1c2pLCjZzdWdnZXN0SWRJbXBvcnQ4YTE3MzYyMi1jMmI1LTQ4NTItOTZjMS0xMzU1NjYzZDUzMmVfNjUSEUpvc2UgU2FuZG92YWwtU3VzakwKN3N1Z2dlc3RJZEltcG9ydDhhMTczNjIyLWMyYjUtNDg1Mi05NmMxLTEzNTU2NjNkNTMyZV8xMTcSEUpvc2UgU2FuZG92YWwtU3VzakwKN3N1Z2dlc3RJZEltcG9ydDhhMTczNjIyLWMyYjUtNDg1Mi05NmMxLTEzNTU2NjNkNTMyZV8yNjISEUpvc2UgU2FuZG92YWwtU3VzaksKNnN1Z2dlc3RJZEltcG9ydDhhMTczNjIyLWMyYjUtNDg1Mi05NmMxLTEzNTU2NjNkNTMyZV80ORIRSm9zZSBTYW5kb3ZhbC1TdXNqTAo3c3VnZ2VzdElkSW1wb3J0OGExNzM2MjItYzJiNS00ODUyLTk2YzEtMTM1NTY2M2Q1MzJlXzI5NxIRSm9zZSBTYW5kb3ZhbC1TdXNqTAo3c3VnZ2VzdElkSW1wb3J0OGExNzM2MjItYzJiNS00ODUyLTk2YzEtMTM1NTY2M2Q1MzJlXzIzOBIRSm9zZSBTYW5kb3ZhbC1TdXNqTAo3c3VnZ2VzdElkSW1wb3J0OGExNzM2MjItYzJiNS00ODUyLTk2YzEtMTM1NTY2M2Q1MzJlXzExORIRSm9zZSBTYW5kb3ZhbC1TdXNqTAo3c3VnZ2VzdElkSW1wb3J0OGExNzM2MjItYzJiNS00ODUyLTk2YzEtMTM1NTY2M2Q1MzJlXzE2MBIRSm9zZSBTYW5kb3ZhbC1TdXNqTAo3c3VnZ2VzdElkSW1wb3J0OGExNzM2MjItYzJiNS00ODUyLTk2YzEtMTM1NTY2M2Q1MzJlXzE5NBIRSm9zZSBTYW5kb3ZhbC1TdXNqTAo3c3VnZ2VzdElkSW1wb3J0OGExNzM2MjItYzJiNS00ODUyLTk2YzEtMTM1NTY2M2Q1MzJlXzM0NRIRSm9zZSBTYW5kb3ZhbC1TdXNqTAo3c3VnZ2VzdElkSW1wb3J0OGExNzM2MjItYzJiNS00ODUyLTk2YzEtMTM1NTY2M2Q1MzJlXzExNRIRSm9zZSBTYW5kb3ZhbC1TdXNqTAo3c3VnZ2VzdElkSW1wb3J0OGExNzM2MjItYzJiNS00ODUyLTk2YzEtMTM1NTY2M2Q1MzJlXzE4MhIRSm9zZSBTYW5kb3ZhbC1TdXNqTAo3c3VnZ2VzdElkSW1wb3J0OGExNzM2MjItYzJiNS00ODUyLTk2YzEtMTM1NTY2M2Q1MzJlXzI0OBIRSm9zZSBTYW5kb3ZhbC1TdXNqTAo3c3VnZ2VzdElkSW1wb3J0OGExNzM2MjItYzJiNS00ODUyLTk2YzEtMTM1NTY2M2Q1MzJlXzM1ORIRSm9zZSBTYW5kb3ZhbC1TdXNqTAo3c3VnZ2VzdElkSW1wb3J0OGExNzM2MjItYzJiNS00ODUyLTk2YzEtMTM1NTY2M2Q1MzJlXzQxNxIRSm9zZSBTYW5kb3ZhbC1TdXNqTAo3c3VnZ2VzdElkSW1wb3J0OGExNzM2MjItYzJiNS00ODUyLTk2YzEtMTM1NTY2M2Q1MzJlXzM5MxIRSm9zZSBTYW5kb3ZhbC1TdXNqTAo3c3VnZ2VzdElkSW1wb3J0OGExNzM2MjItYzJiNS00ODUyLTk2YzEtMTM1NTY2M2Q1MzJlXzI0ORIRSm9zZSBTYW5kb3ZhbC1TdXNqTAo3c3VnZ2VzdElkSW1wb3J0OGExNzM2MjItYzJiNS00ODUyLTk2YzEtMTM1NTY2M2Q1MzJlXzM5NBIRSm9zZSBTYW5kb3ZhbC1TdXNqTAo3c3VnZ2VzdElkSW1wb3J0OGExNzM2MjItYzJiNS00ODUyLTk2YzEtMTM1NTY2M2Q1MzJlXzQxMxIRSm9zZSBTYW5kb3ZhbC1TdXNqSgo1c3VnZ2VzdElkSW1wb3J0OGExNzM2MjItYzJiNS00ODUyLTk2YzEtMTM1NTY2M2Q1MzJlXzUSEUpvc2UgU2FuZG92YWwtU3VzakwKN3N1Z2dlc3RJZEltcG9ydDhhMTczNjIyLWMyYjUtNDg1Mi05NmMxLTEzNTU2NjNkNTMyZV80MDgSEUpvc2UgU2FuZG92YWwtU3VzakwKN3N1Z2dlc3RJZEltcG9ydDhhMTczNjIyLWMyYjUtNDg1Mi05NmMxLTEzNTU2NjNkNTMyZV80MDcSEUpvc2UgU2FuZG92YWwtU3VzakwKN3N1Z2dlc3RJZEltcG9ydDhhMTczNjIyLWMyYjUtNDg1Mi05NmMxLTEzNTU2NjNkNTMyZV8xOTYSEUpvc2UgU2FuZG92YWwtU3VzaksKNnN1Z2dlc3RJZEltcG9ydDhhMTczNjIyLWMyYjUtNDg1Mi05NmMxLTEzNTU2NjNkNTMyZV8xNRIRSm9zZSBTYW5kb3ZhbC1TdXNqTAo3c3VnZ2VzdElkSW1wb3J0OGExNzM2MjItYzJiNS00ODUyLTk2YzEtMTM1NTY2M2Q1MzJlXzEwMhIRSm9zZSBTYW5kb3ZhbC1TdXNqTAo3c3VnZ2VzdElkSW1wb3J0OGExNzM2MjItYzJiNS00ODUyLTk2YzEtMTM1NTY2M2Q1MzJlXzIyMxIRSm9zZSBTYW5kb3ZhbC1TdXNqTAo3c3VnZ2VzdElkSW1wb3J0OGExNzM2MjItYzJiNS00ODUyLTk2YzEtMTM1NTY2M2Q1MzJlXzQxNRIRSm9zZSBTYW5kb3ZhbC1TdXNqTAo3c3VnZ2VzdElkSW1wb3J0OGExNzM2MjItYzJiNS00ODUyLTk2YzEtMTM1NTY2M2Q1MzJlXzI3ORIRSm9zZSBTYW5kb3ZhbC1TdXNqTAo3c3VnZ2VzdElkSW1wb3J0OGExNzM2MjItYzJiNS00ODUyLTk2YzEtMTM1NTY2M2Q1MzJlXzE0NxIRSm9zZSBTYW5kb3ZhbC1TdXNqSwo2c3VnZ2VzdElkSW1wb3J0OGExNzM2MjItYzJiNS00ODUyLTk2YzEtMTM1NTY2M2Q1MzJlXzg4EhFKb3NlIFNhbmRvdmFsLVN1c2pMCjdzdWdnZXN0SWRJbXBvcnQ4YTE3MzYyMi1jMmI1LTQ4NTItOTZjMS0xMzU1NjYzZDUzMmVfMTcxEhFKb3NlIFNhbmRvdmFsLVN1c2pMCjdzdWdnZXN0SWRJbXBvcnQ4YTE3MzYyMi1jMmI1LTQ4NTItOTZjMS0xMzU1NjYzZDUzMmVfMjEzEhFKb3NlIFNhbmRvdmFsLVN1c2pMCjdzdWdnZXN0SWRJbXBvcnQ4YTE3MzYyMi1jMmI1LTQ4NTItOTZjMS0xMzU1NjYzZDUzMmVfMTY0EhFKb3NlIFNhbmRvdmFsLVN1c2pMCjdzdWdnZXN0SWRJbXBvcnQ4YTE3MzYyMi1jMmI1LTQ4NTItOTZjMS0xMzU1NjYzZDUzMmVfMjM3EhFKb3NlIFNhbmRvdmFsLVN1c2pMCjdzdWdnZXN0SWRJbXBvcnQ4YTE3MzYyMi1jMmI1LTQ4NTItOTZjMS0xMzU1NjYzZDUzMmVfMjk1EhFKb3NlIFNhbmRvdmFsLVN1c2pMCjdzdWdnZXN0SWRJbXBvcnQ4YTE3MzYyMi1jMmI1LTQ4NTItOTZjMS0xMzU1NjYzZDUzMmVfMjg5EhFKb3NlIFNhbmRvdmFsLVN1c2pMCjdzdWdnZXN0SWRJbXBvcnQ4YTE3MzYyMi1jMmI1LTQ4NTItOTZjMS0xMzU1NjYzZDUzMmVfMTY1EhFKb3NlIFNhbmRvdmFsLVN1c2pLCjZzdWdnZXN0SWRJbXBvcnQ4YTE3MzYyMi1jMmI1LTQ4NTItOTZjMS0xMzU1NjYzZDUzMmVfOTQSEUpvc2UgU2FuZG92YWwtU3VzakwKN3N1Z2dlc3RJZEltcG9ydDhhMTczNjIyLWMyYjUtNDg1Mi05NmMxLTEzNTU2NjNkNTMyZV8yMzISEUpvc2UgU2FuZG92YWwtU3VzaksKNnN1Z2dlc3RJZEltcG9ydDhhMTczNjIyLWMyYjUtNDg1Mi05NmMxLTEzNTU2NjNkNTMyZV8zNxIRSm9zZSBTYW5kb3ZhbC1TdXNqTAo3c3VnZ2VzdElkSW1wb3J0OGExNzM2MjItYzJiNS00ODUyLTk2YzEtMTM1NTY2M2Q1MzJlXzI0NBIRSm9zZSBTYW5kb3ZhbC1TdXNqSwo2c3VnZ2VzdElkSW1wb3J0OGExNzM2MjItYzJiNS00ODUyLTk2YzEtMTM1NTY2M2Q1MzJlXzIzEhFKb3NlIFNhbmRvdmFsLVN1c2pMCjdzdWdnZXN0SWRJbXBvcnQ4YTE3MzYyMi1jMmI1LTQ4NTItOTZjMS0xMzU1NjYzZDUzMmVfMTc0EhFKb3NlIFNhbmRvdmFsLVN1c2pMCjdzdWdnZXN0SWRJbXBvcnQ4YTE3MzYyMi1jMmI1LTQ4NTItOTZjMS0xMzU1NjYzZDUzMmVfMzgwEhFKb3NlIFNhbmRvdmFsLVN1c2pLCjZzdWdnZXN0SWRJbXBvcnQ4YTE3MzYyMi1jMmI1LTQ4NTItOTZjMS0xMzU1NjYzZDUzMmVfNTQSEUpvc2UgU2FuZG92YWwtU3VzakwKN3N1Z2dlc3RJZEltcG9ydDhhMTczNjIyLWMyYjUtNDg1Mi05NmMxLTEzNTU2NjNkNTMyZV8zOTcSEUpvc2UgU2FuZG92YWwtU3VzakwKN3N1Z2dlc3RJZEltcG9ydDhhMTczNjIyLWMyYjUtNDg1Mi05NmMxLTEzNTU2NjNkNTMyZV8xMDkSEUpvc2UgU2FuZG92YWwtU3VzakwKN3N1Z2dlc3RJZEltcG9ydDhhMTczNjIyLWMyYjUtNDg1Mi05NmMxLTEzNTU2NjNkNTMyZV8yMjQSEUpvc2UgU2FuZG92YWwtU3VzakwKN3N1Z2dlc3RJZEltcG9ydDhhMTczNjIyLWMyYjUtNDg1Mi05NmMxLTEzNTU2NjNkNTMyZV8zMTQSEUpvc2UgU2FuZG92YWwtU3VzaksKNnN1Z2dlc3RJZEltcG9ydDhhMTczNjIyLWMyYjUtNDg1Mi05NmMxLTEzNTU2NjNkNTMyZV8yORIRSm9zZSBTYW5kb3ZhbC1TdXNqSwo2c3VnZ2VzdElkSW1wb3J0OGExNzM2MjItYzJiNS00ODUyLTk2YzEtMTM1NTY2M2Q1MzJlXzI1EhFKb3NlIFNhbmRvdmFsLVN1c2pLCjZzdWdnZXN0SWRJbXBvcnQ4YTE3MzYyMi1jMmI1LTQ4NTItOTZjMS0xMzU1NjYzZDUzMmVfODASEUpvc2UgU2FuZG92YWwtU3VzakwKN3N1Z2dlc3RJZEltcG9ydDhhMTczNjIyLWMyYjUtNDg1Mi05NmMxLTEzNTU2NjNkNTMyZV8xMjESEUpvc2UgU2FuZG92YWwtU3VzakwKN3N1Z2dlc3RJZEltcG9ydDhhMTczNjIyLWMyYjUtNDg1Mi05NmMxLTEzNTU2NjNkNTMyZV8zMTASEUpvc2UgU2FuZG92YWwtU3VzakwKN3N1Z2dlc3RJZEltcG9ydDhhMTczNjIyLWMyYjUtNDg1Mi05NmMxLTEzNTU2NjNkNTMyZV8zNTISEUpvc2UgU2FuZG92YWwtU3VzakwKN3N1Z2dlc3RJZEltcG9ydDhhMTczNjIyLWMyYjUtNDg1Mi05NmMxLTEzNTU2NjNkNTMyZV8yMDMSEUpvc2UgU2FuZG92YWwtU3VzakwKN3N1Z2dlc3RJZEltcG9ydDhhMTczNjIyLWMyYjUtNDg1Mi05NmMxLTEzNTU2NjNkNTMyZV8zNzYSEUpvc2UgU2FuZG92YWwtU3VzakoKNXN1Z2dlc3RJZEltcG9ydDhhMTczNjIyLWMyYjUtNDg1Mi05NmMxLTEzNTU2NjNkNTMyZV8yEhFKb3NlIFNhbmRvdmFsLVN1c2pMCjdzdWdnZXN0SWRJbXBvcnQ4YTE3MzYyMi1jMmI1LTQ4NTItOTZjMS0xMzU1NjYzZDUzMmVfMzQxEhFKb3NlIFNhbmRvdmFsLVN1c2pMCjdzdWdnZXN0SWRJbXBvcnQ4YTE3MzYyMi1jMmI1LTQ4NTItOTZjMS0xMzU1NjYzZDUzMmVfMTkxEhFKb3NlIFNhbmRvdmFsLVN1c2pLCjZzdWdnZXN0SWRJbXBvcnQ4YTE3MzYyMi1jMmI1LTQ4NTItOTZjMS0xMzU1NjYzZDUzMmVfNzASEUpvc2UgU2FuZG92YWwtU3VzakwKN3N1Z2dlc3RJZEltcG9ydDhhMTczNjIyLWMyYjUtNDg1Mi05NmMxLTEzNTU2NjNkNTMyZV8xNjkSEUpvc2UgU2FuZG92YWwtU3VzakwKN3N1Z2dlc3RJZEltcG9ydDhhMTczNjIyLWMyYjUtNDg1Mi05NmMxLTEzNTU2NjNkNTMyZV80MDYSEUpvc2UgU2FuZG92YWwtU3VzaksKNnN1Z2dlc3RJZEltcG9ydDhhMTczNjIyLWMyYjUtNDg1Mi05NmMxLTEzNTU2NjNkNTMyZV82MxIRSm9zZSBTYW5kb3ZhbC1TdXNqTAo3c3VnZ2VzdElkSW1wb3J0OGExNzM2MjItYzJiNS00ODUyLTk2YzEtMTM1NTY2M2Q1MzJlXzMyMRIRSm9zZSBTYW5kb3ZhbC1TdXNqTAo3c3VnZ2VzdElkSW1wb3J0OGExNzM2MjItYzJiNS00ODUyLTk2YzEtMTM1NTY2M2Q1MzJlXzIyORIRSm9zZSBTYW5kb3ZhbC1TdXNqTAo3c3VnZ2VzdElkSW1wb3J0OGExNzM2MjItYzJiNS00ODUyLTk2YzEtMTM1NTY2M2Q1MzJlXzM0MBIRSm9zZSBTYW5kb3ZhbC1TdXNqTAo3c3VnZ2VzdElkSW1wb3J0OGExNzM2MjItYzJiNS00ODUyLTk2YzEtMTM1NTY2M2Q1MzJlXzMwMRIRSm9zZSBTYW5kb3ZhbC1TdXNqTAo3c3VnZ2VzdElkSW1wb3J0OGExNzM2MjItYzJiNS00ODUyLTk2YzEtMTM1NTY2M2Q1MzJlXzM1MRIRSm9zZSBTYW5kb3ZhbC1TdXNqTAo3c3VnZ2VzdElkSW1wb3J0OGExNzM2MjItYzJiNS00ODUyLTk2YzEtMTM1NTY2M2Q1MzJlXzI0MhIRSm9zZSBTYW5kb3ZhbC1TdXNqSwo2c3VnZ2VzdElkSW1wb3J0OGExNzM2MjItYzJiNS00ODUyLTk2YzEtMTM1NTY2M2Q1MzJlXzM1EhFKb3NlIFNhbmRvdmFsLVN1c2pMCjdzdWdnZXN0SWRJbXBvcnQ4YTE3MzYyMi1jMmI1LTQ4NTItOTZjMS0xMzU1NjYzZDUzMmVfMjQwEhFKb3NlIFNhbmRvdmFsLVN1c2pKCjVzdWdnZXN0SWRJbXBvcnQ4YTE3MzYyMi1jMmI1LTQ4NTItOTZjMS0xMzU1NjYzZDUzMmVfNBIRSm9zZSBTYW5kb3ZhbC1TdXNqTAo3c3VnZ2VzdElkSW1wb3J0OGExNzM2MjItYzJiNS00ODUyLTk2YzEtMTM1NTY2M2Q1MzJlXzI4MxIRSm9zZSBTYW5kb3ZhbC1TdXNqTAo3c3VnZ2VzdElkSW1wb3J0OGExNzM2MjItYzJiNS00ODUyLTk2YzEtMTM1NTY2M2Q1MzJlXzM2MxIRSm9zZSBTYW5kb3ZhbC1TdXNqSwo2c3VnZ2VzdElkSW1wb3J0OGExNzM2MjItYzJiNS00ODUyLTk2YzEtMTM1NTY2M2Q1MzJlXzM0EhFKb3NlIFNhbmRvdmFsLVN1c2pMCjdzdWdnZXN0SWRJbXBvcnQ4YTE3MzYyMi1jMmI1LTQ4NTItOTZjMS0xMzU1NjYzZDUzMmVfMzcyEhFKb3NlIFNhbmRvdmFsLVN1c2pLCjZzdWdnZXN0SWRJbXBvcnQ4YTE3MzYyMi1jMmI1LTQ4NTItOTZjMS0xMzU1NjYzZDUzMmVfNzcSEUpvc2UgU2FuZG92YWwtU3VzakwKN3N1Z2dlc3RJZEltcG9ydDhhMTczNjIyLWMyYjUtNDg1Mi05NmMxLTEzNTU2NjNkNTMyZV8xNDUSEUpvc2UgU2FuZG92YWwtU3VzaksKNnN1Z2dlc3RJZEltcG9ydDhhMTczNjIyLWMyYjUtNDg1Mi05NmMxLTEzNTU2NjNkNTMyZV85MRIRSm9zZSBTYW5kb3ZhbC1TdXNqTAo3c3VnZ2VzdElkSW1wb3J0OGExNzM2MjItYzJiNS00ODUyLTk2YzEtMTM1NTY2M2Q1MzJlXzM5NhIRSm9zZSBTYW5kb3ZhbC1TdXNqTAo3c3VnZ2VzdElkSW1wb3J0OGExNzM2MjItYzJiNS00ODUyLTk2YzEtMTM1NTY2M2Q1MzJlXzEyNhIRSm9zZSBTYW5kb3ZhbC1TdXNqSwo2c3VnZ2VzdElkSW1wb3J0OGExNzM2MjItYzJiNS00ODUyLTk2YzEtMTM1NTY2M2Q1MzJlXzY5EhFKb3NlIFNhbmRvdmFsLVN1c2pMCjdzdWdnZXN0SWRJbXBvcnQ4YTE3MzYyMi1jMmI1LTQ4NTItOTZjMS0xMzU1NjYzZDUzMmVfMjU3EhFKb3NlIFNhbmRvdmFsLVN1c2pMCjdzdWdnZXN0SWRJbXBvcnQ4YTE3MzYyMi1jMmI1LTQ4NTItOTZjMS0xMzU1NjYzZDUzMmVfMjQ2EhFKb3NlIFNhbmRvdmFsLVN1c2pMCjdzdWdnZXN0SWRJbXBvcnQ4YTE3MzYyMi1jMmI1LTQ4NTItOTZjMS0xMzU1NjYzZDUzMmVfMTM2EhFKb3NlIFNhbmRvdmFsLVN1c2pMCjdzdWdnZXN0SWRJbXBvcnQ4YTE3MzYyMi1jMmI1LTQ4NTItOTZjMS0xMzU1NjYzZDUzMmVfMzI5EhFKb3NlIFNhbmRvdmFsLVN1c2pMCjdzdWdnZXN0SWRJbXBvcnQ4YTE3MzYyMi1jMmI1LTQ4NTItOTZjMS0xMzU1NjYzZDUzMmVfMTkzEhFKb3NlIFNhbmRvdmFsLVN1c2pMCjdzdWdnZXN0SWRJbXBvcnQ4YTE3MzYyMi1jMmI1LTQ4NTItOTZjMS0xMzU1NjYzZDUzMmVfMjU1EhFKb3NlIFNhbmRvdmFsLVN1c2pMCjdzdWdnZXN0SWRJbXBvcnQ4YTE3MzYyMi1jMmI1LTQ4NTItOTZjMS0xMzU1NjYzZDUzMmVfMTcwEhFKb3NlIFNhbmRvdmFsLVN1c2pMCjdzdWdnZXN0SWRJbXBvcnQ4YTE3MzYyMi1jMmI1LTQ4NTItOTZjMS0xMzU1NjYzZDUzMmVfMTk3EhFKb3NlIFNhbmRvdmFsLVN1c2pMCjdzdWdnZXN0SWRJbXBvcnQ4YTE3MzYyMi1jMmI1LTQ4NTItOTZjMS0xMzU1NjYzZDUzMmVfMTEzEhFKb3NlIFNhbmRvdmFsLVN1c2pMCjdzdWdnZXN0SWRJbXBvcnQ4YTE3MzYyMi1jMmI1LTQ4NTItOTZjMS0xMzU1NjYzZDUzMmVfMjI4EhFKb3NlIFNhbmRvdmFsLVN1c2pMCjdzdWdnZXN0SWRJbXBvcnQ4YTE3MzYyMi1jMmI1LTQ4NTItOTZjMS0xMzU1NjYzZDUzMmVfMTg3EhFKb3NlIFNhbmRvdmFsLVN1c2pLCjZzdWdnZXN0SWRJbXBvcnQ4YTE3MzYyMi1jMmI1LTQ4NTItOTZjMS0xMzU1NjYzZDUzMmVfMzkSEUpvc2UgU2FuZG92YWwtU3VzakwKN3N1Z2dlc3RJZEltcG9ydDhhMTczNjIyLWMyYjUtNDg1Mi05NmMxLTEzNTU2NjNkNTMyZV8xNjcSEUpvc2UgU2FuZG92YWwtU3VzakwKN3N1Z2dlc3RJZEltcG9ydDhhMTczNjIyLWMyYjUtNDg1Mi05NmMxLTEzNTU2NjNkNTMyZV8yOTkSEUpvc2UgU2FuZG92YWwtU3VzakwKN3N1Z2dlc3RJZEltcG9ydDhhMTczNjIyLWMyYjUtNDg1Mi05NmMxLTEzNTU2NjNkNTMyZV8xMzESEUpvc2UgU2FuZG92YWwtU3VzakwKN3N1Z2dlc3RJZEltcG9ydDhhMTczNjIyLWMyYjUtNDg1Mi05NmMxLTEzNTU2NjNkNTMyZV8yOTESEUpvc2UgU2FuZG92YWwtU3VzakoKNXN1Z2dlc3RJZEltcG9ydDhhMTczNjIyLWMyYjUtNDg1Mi05NmMxLTEzNTU2NjNkNTMyZV83EhFKb3NlIFNhbmRvdmFsLVN1c2pMCjdzdWdnZXN0SWRJbXBvcnQ4YTE3MzYyMi1jMmI1LTQ4NTItOTZjMS0xMzU1NjYzZDUzMmVfMTU2EhFKb3NlIFNhbmRvdmFsLVN1c2pLCjZzdWdnZXN0SWRJbXBvcnQ4YTE3MzYyMi1jMmI1LTQ4NTItOTZjMS0xMzU1NjYzZDUzMmVfNzMSEUpvc2UgU2FuZG92YWwtU3VzakwKN3N1Z2dlc3RJZEltcG9ydDhhMTczNjIyLWMyYjUtNDg1Mi05NmMxLTEzNTU2NjNkNTMyZV8yMDQSEUpvc2UgU2FuZG92YWwtU3VzakwKN3N1Z2dlc3RJZEltcG9ydDhhMTczNjIyLWMyYjUtNDg1Mi05NmMxLTEzNTU2NjNkNTMyZV8yNzYSEUpvc2UgU2FuZG92YWwtU3VzakwKN3N1Z2dlc3RJZEltcG9ydDhhMTczNjIyLWMyYjUtNDg1Mi05NmMxLTEzNTU2NjNkNTMyZV8yNTMSEUpvc2UgU2FuZG92YWwtU3VzakwKN3N1Z2dlc3RJZEltcG9ydDhhMTczNjIyLWMyYjUtNDg1Mi05NmMxLTEzNTU2NjNkNTMyZV8zNTMSEUpvc2UgU2FuZG92YWwtU3VzaksKNnN1Z2dlc3RJZEltcG9ydDhhMTczNjIyLWMyYjUtNDg1Mi05NmMxLTEzNTU2NjNkNTMyZV83NRIRSm9zZSBTYW5kb3ZhbC1TdXNqTAo3c3VnZ2VzdElkSW1wb3J0OGExNzM2MjItYzJiNS00ODUyLTk2YzEtMTM1NTY2M2Q1MzJlXzMxORIRSm9zZSBTYW5kb3ZhbC1TdXNqTAo3c3VnZ2VzdElkSW1wb3J0OGExNzM2MjItYzJiNS00ODUyLTk2YzEtMTM1NTY2M2Q1MzJlXzI3NRIRSm9zZSBTYW5kb3ZhbC1TdXNqTAo3c3VnZ2VzdElkSW1wb3J0OGExNzM2MjItYzJiNS00ODUyLTk2YzEtMTM1NTY2M2Q1MzJlXzM2NRIRSm9zZSBTYW5kb3ZhbC1TdXNqTAo3c3VnZ2VzdElkSW1wb3J0OGExNzM2MjItYzJiNS00ODUyLTk2YzEtMTM1NTY2M2Q1MzJlXzM0MxIRSm9zZSBTYW5kb3ZhbC1TdXNqTAo3c3VnZ2VzdElkSW1wb3J0OGExNzM2MjItYzJiNS00ODUyLTk2YzEtMTM1NTY2M2Q1MzJlXzI3MBIRSm9zZSBTYW5kb3ZhbC1TdXNqSwo2c3VnZ2VzdElkSW1wb3J0OGExNzM2MjItYzJiNS00ODUyLTk2YzEtMTM1NTY2M2Q1MzJlXzUxEhFKb3NlIFNhbmRvdmFsLVN1c2pLCjZzdWdnZXN0SWRJbXBvcnQ4YTE3MzYyMi1jMmI1LTQ4NTItOTZjMS0xMzU1NjYzZDUzMmVfNjgSEUpvc2UgU2FuZG92YWwtU3VzaksKNnN1Z2dlc3RJZEltcG9ydDhhMTczNjIyLWMyYjUtNDg1Mi05NmMxLTEzNTU2NjNkNTMyZV83OBIRSm9zZSBTYW5kb3ZhbC1TdXNqTAo3c3VnZ2VzdElkSW1wb3J0OGExNzM2MjItYzJiNS00ODUyLTk2YzEtMTM1NTY2M2Q1MzJlXzE1ORIRSm9zZSBTYW5kb3ZhbC1TdXNqTAo3c3VnZ2VzdElkSW1wb3J0OGExNzM2MjItYzJiNS00ODUyLTk2YzEtMTM1NTY2M2Q1MzJlXzMyMxIRSm9zZSBTYW5kb3ZhbC1TdXNqTAo3c3VnZ2VzdElkSW1wb3J0OGExNzM2MjItYzJiNS00ODUyLTk2YzEtMTM1NTY2M2Q1MzJlXzE1NBIRSm9zZSBTYW5kb3ZhbC1TdXNqTAo3c3VnZ2VzdElkSW1wb3J0OGExNzM2MjItYzJiNS00ODUyLTk2YzEtMTM1NTY2M2Q1MzJlXzMwMxIRSm9zZSBTYW5kb3ZhbC1TdXNqTAo3c3VnZ2VzdElkSW1wb3J0OGExNzM2MjItYzJiNS00ODUyLTk2YzEtMTM1NTY2M2Q1MzJlXzMwNhIRSm9zZSBTYW5kb3ZhbC1TdXNqSwo2c3VnZ2VzdElkSW1wb3J0OGExNzM2MjItYzJiNS00ODUyLTk2YzEtMTM1NTY2M2Q1MzJlXzE0EhFKb3NlIFNhbmRvdmFsLVN1c2pMCjdzdWdnZXN0SWRJbXBvcnQ4YTE3MzYyMi1jMmI1LTQ4NTItOTZjMS0xMzU1NjYzZDUzMmVfMzY5EhFKb3NlIFNhbmRvdmFsLVN1c2pMCjdzdWdnZXN0SWRJbXBvcnQ4YTE3MzYyMi1jMmI1LTQ4NTItOTZjMS0xMzU1NjYzZDUzMmVfMjEyEhFKb3NlIFNhbmRvdmFsLVN1c2pLCjZzdWdnZXN0SWRJbXBvcnQ4YTE3MzYyMi1jMmI1LTQ4NTItOTZjMS0xMzU1NjYzZDUzMmVfNTYSEUpvc2UgU2FuZG92YWwtU3VzakwKN3N1Z2dlc3RJZEltcG9ydDhhMTczNjIyLWMyYjUtNDg1Mi05NmMxLTEzNTU2NjNkNTMyZV8zODYSEUpvc2UgU2FuZG92YWwtU3VzakwKN3N1Z2dlc3RJZEltcG9ydDhhMTczNjIyLWMyYjUtNDg1Mi05NmMxLTEzNTU2NjNkNTMyZV8xNjISEUpvc2UgU2FuZG92YWwtU3VzaksKNnN1Z2dlc3RJZEltcG9ydDhhMTczNjIyLWMyYjUtNDg1Mi05NmMxLTEzNTU2NjNkNTMyZV84NBIRSm9zZSBTYW5kb3ZhbC1TdXNqSwo2c3VnZ2VzdElkSW1wb3J0OGExNzM2MjItYzJiNS00ODUyLTk2YzEtMTM1NTY2M2Q1MzJlXzQyEhFKb3NlIFNhbmRvdmFsLVN1c2pLCjZzdWdnZXN0SWRJbXBvcnQ4YTE3MzYyMi1jMmI1LTQ4NTItOTZjMS0xMzU1NjYzZDUzMmVfODUSEUpvc2UgU2FuZG92YWwtU3VzakoKNXN1Z2dlc3RJZEltcG9ydDhhMTczNjIyLWMyYjUtNDg1Mi05NmMxLTEzNTU2NjNkNTMyZV8zEhFKb3NlIFNhbmRvdmFsLVN1c2pMCjdzdWdnZXN0SWRJbXBvcnQ4YTE3MzYyMi1jMmI1LTQ4NTItOTZjMS0xMzU1NjYzZDUzMmVfMzI3EhFKb3NlIFNhbmRvdmFsLVN1c2pMCjdzdWdnZXN0SWRJbXBvcnQ4YTE3MzYyMi1jMmI1LTQ4NTItOTZjMS0xMzU1NjYzZDUzMmVfMzY3EhFKb3NlIFNhbmRvdmFsLVN1c2pLCjZzdWdnZXN0SWRJbXBvcnQ4YTE3MzYyMi1jMmI1LTQ4NTItOTZjMS0xMzU1NjYzZDUzMmVfODcSEUpvc2UgU2FuZG92YWwtU3VzakwKN3N1Z2dlc3RJZEltcG9ydDhhMTczNjIyLWMyYjUtNDg1Mi05NmMxLTEzNTU2NjNkNTMyZV8xMjQSEUpvc2UgU2FuZG92YWwtU3VzakwKN3N1Z2dlc3RJZEltcG9ydDhhMTczNjIyLWMyYjUtNDg1Mi05NmMxLTEzNTU2NjNkNTMyZV8xNjYSEUpvc2UgU2FuZG92YWwtU3VzakwKN3N1Z2dlc3RJZEltcG9ydDhhMTczNjIyLWMyYjUtNDg1Mi05NmMxLTEzNTU2NjNkNTMyZV8zNzQSEUpvc2UgU2FuZG92YWwtU3VzakwKN3N1Z2dlc3RJZEltcG9ydDhhMTczNjIyLWMyYjUtNDg1Mi05NmMxLTEzNTU2NjNkNTMyZV8zNjESEUpvc2UgU2FuZG92YWwtU3VzakwKN3N1Z2dlc3RJZEltcG9ydDhhMTczNjIyLWMyYjUtNDg1Mi05NmMxLTEzNTU2NjNkNTMyZV8zNDcSEUpvc2UgU2FuZG92YWwtU3VzakwKN3N1Z2dlc3RJZEltcG9ydDhhMTczNjIyLWMyYjUtNDg1Mi05NmMxLTEzNTU2NjNkNTMyZV80MTASEUpvc2UgU2FuZG92YWwtU3VzakwKN3N1Z2dlc3RJZEltcG9ydDhhMTczNjIyLWMyYjUtNDg1Mi05NmMxLTEzNTU2NjNkNTMyZV8xMjMSEUpvc2UgU2FuZG92YWwtU3VzakwKN3N1Z2dlc3RJZEltcG9ydDhhMTczNjIyLWMyYjUtNDg1Mi05NmMxLTEzNTU2NjNkNTMyZV8xMDgSEUpvc2UgU2FuZG92YWwtU3VzakwKN3N1Z2dlc3RJZEltcG9ydDhhMTczNjIyLWMyYjUtNDg1Mi05NmMxLTEzNTU2NjNkNTMyZV8xNTISEUpvc2UgU2FuZG92YWwtU3VzaksKNnN1Z2dlc3RJZEltcG9ydDhhMTczNjIyLWMyYjUtNDg1Mi05NmMxLTEzNTU2NjNkNTMyZV8yMBIRSm9zZSBTYW5kb3ZhbC1TdXNqTAo3c3VnZ2VzdElkSW1wb3J0OGExNzM2MjItYzJiNS00ODUyLTk2YzEtMTM1NTY2M2Q1MzJlXzIzMRIRSm9zZSBTYW5kb3ZhbC1TdXNqSwo2c3VnZ2VzdElkSW1wb3J0OGExNzM2MjItYzJiNS00ODUyLTk2YzEtMTM1NTY2M2Q1MzJlXzMzEhFKb3NlIFNhbmRvdmFsLVN1c2pMCjdzdWdnZXN0SWRJbXBvcnQ4YTE3MzYyMi1jMmI1LTQ4NTItOTZjMS0xMzU1NjYzZDUzMmVfMzMzEhFKb3NlIFNhbmRvdmFsLVN1c2pMCjdzdWdnZXN0SWRJbXBvcnQ4YTE3MzYyMi1jMmI1LTQ4NTItOTZjMS0xMzU1NjYzZDUzMmVfMjMzEhFKb3NlIFNhbmRvdmFsLVN1c2pMCjdzdWdnZXN0SWRJbXBvcnQ4YTE3MzYyMi1jMmI1LTQ4NTItOTZjMS0xMzU1NjYzZDUzMmVfNDIyEhFKb3NlIFNhbmRvdmFsLVN1c3IhMTMwUXVxQUZ0b2xkeHFuMUZFRnJWTm05ZTJESjd4ZEF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47</Pages>
  <Words>23861</Words>
  <Characters>145651</Characters>
  <Application>Microsoft Office Word</Application>
  <DocSecurity>0</DocSecurity>
  <Lines>2133</Lines>
  <Paragraphs>538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 Maria Alejandra Torres Viera - Grupo GELL</dc:creator>
  <cp:lastModifiedBy>Maria Torres</cp:lastModifiedBy>
  <cp:revision>7</cp:revision>
  <dcterms:created xsi:type="dcterms:W3CDTF">2026-03-23T19:23:00Z</dcterms:created>
  <dcterms:modified xsi:type="dcterms:W3CDTF">2026-04-15T23:58:00Z</dcterms:modified>
</cp:coreProperties>
</file>